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承运交接 封签跳号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STORE02，SUP02，SKU163、SKU164。场景：承运交接 / 封签跳号。本件为供货附件，用途是明确本次商业决定、证据与未授权边界。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模拟：承运责任转移以双方确认交接记录为准，平台到达状态只是线索。</w:t>
      </w:r>
    </w:p>
    <w:p>
      <w:pPr>
        <w:pStyle w:val="Heading1"/>
      </w:pPr>
      <w:r>
        <w:t>适用条件与处置</w:t>
      </w:r>
    </w:p>
    <w:p>
      <w:r>
        <w:t>模拟：当中转记录封签与到店号不一致时，采购要求供方在回执中明确：记录链路缺口并请求解释。未得到范围确认的行仍是待协商，不因门店已经着急用货就改成已履约。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中转交接和到店封签照片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模拟：不能自行补写不存在的换签过程。真实厂商、行业和法律要求应另查可核实原始指引；这里没有生成相关阈值。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02为STORE02提供SKU163和SKU164；这只是本场景供货联系。本供货附件适用于这两个商品的承运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