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捐赠交接 标识不全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STORE06，SUP14，SKU107、SKU108。场景：捐赠交接 / 标识不全。本件为供货附件，用途是明确本次商业决定、证据与未授权边界。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模拟：捐赠接受条件以接收机构与适用指引确认，不编造安全期限。</w:t>
      </w:r>
    </w:p>
    <w:p>
      <w:pPr>
        <w:pStyle w:val="Heading1"/>
      </w:pPr>
      <w:r>
        <w:t>适用条件与处置</w:t>
      </w:r>
    </w:p>
    <w:p>
      <w:r>
        <w:t>模拟：当包装完整但商品身份标签缺失时，采购要求供方在回执中明确：请求正式资料并等待接收方判断。未得到范围确认的行仍是待协商，不因门店已经着急用货就改成已履约。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采购来源与缺标记录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模拟：不能自己补造日期或成分说明。真实厂商、行业和法律要求应另查可核实原始指引；这里没有生成相关阈值。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14为STORE06提供SKU107和SKU108；这只是本场景供货联系。本供货附件适用于这两个商品的捐赠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