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捐赠交接 部分拒收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STORE02，SUP34，SKU227、SKU228。场景：捐赠交接 / 部分拒收。本件为供货附件，用途是明确本次商业决定、证据与未授权边界。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模拟：捐赠接受条件以接收机构与适用指引确认，不编造安全期限。</w:t>
      </w:r>
    </w:p>
    <w:p>
      <w:pPr>
        <w:pStyle w:val="Heading1"/>
      </w:pPr>
      <w:r>
        <w:t>适用条件与处置</w:t>
      </w:r>
    </w:p>
    <w:p>
      <w:r>
        <w:t>模拟：当接收方现场只接受清单部分商品时，采购要求供方在回执中明确：更新接受与退回明细，未接受部分另处理。未得到范围确认的行仍是待协商，不因门店已经着急用货就改成已履约。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双方交接回执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模拟：车辆装走一部分不能记整单完成。真实厂商、行业和法律要求应另查可核实原始指引；这里没有生成相关阈值。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34为STORE02提供SKU227和SKU228；这只是本场景供货联系。本供货附件适用于这两个商品的捐赠交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