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标签改版 旧版库存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STORE07，SUP15，SKU109、SKU110。场景：标签改版 / 旧版库存。本件为供货附件，用途是明确本次商业决定、证据与未授权边界。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模拟：供方改版须说明变更范围，门店不得自行补造行业信息。</w:t>
      </w:r>
    </w:p>
    <w:p>
      <w:pPr>
        <w:pStyle w:val="Heading1"/>
      </w:pPr>
      <w:r>
        <w:t>适用条件与处置</w:t>
      </w:r>
    </w:p>
    <w:p>
      <w:r>
        <w:t>模拟：当新版已批准而旧包装库存仍在店时，采购要求供方在回执中明确：按正式版本过渡方案处理旧货。未得到范围确认的行仍是待协商，不因门店已经着急用货就改成已履约。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版次过渡说明和库存批次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模拟：新稿上传不意味着旧货立即全部不可售。真实厂商、行业和法律要求应另查可核实原始指引；这里没有生成相关阈值。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109和SKU110；这只是本场景供货联系。本供货附件适用于这两个商品的标签改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