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标签改版 双语差异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STORE05，SUP05，SKU169、SKU170。场景：标签改版 / 双语差异。本件为供货附件，用途是明确本次商业决定、证据与未授权边界。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模拟：供方改版须说明变更范围，门店不得自行补造行业信息。</w:t>
      </w:r>
    </w:p>
    <w:p>
      <w:pPr>
        <w:pStyle w:val="Heading1"/>
      </w:pPr>
      <w:r>
        <w:t>适用条件与处置</w:t>
      </w:r>
    </w:p>
    <w:p>
      <w:r>
        <w:t>模拟：当中文与英文用途描述不一致时，采购要求供方在回执中明确：请求厂商澄清后统一稿件。未得到范围确认的行仍是待协商，不因门店已经着急用货就改成已履约。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双语对照与澄清回复，作为供方确认附件逐项回传。未取得必要批准或材料时保持待核，不直接执行放行、替换或退款。模拟盘点演练清单为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模拟：不能自行择取更有利宣传的一种说法。真实厂商、行业和法律要求应另查可核实原始指引；这里没有生成相关阈值。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05为STORE05提供SKU169和SKU170；这只是本场景供货联系。本供货附件适用于这两个商品的标签改版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