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标签改版 二维码失效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STORE03，SUP35，SKU229、SKU230。场景：标签改版 / 二维码失效。本件为供货附件，用途是明确本次商业决定、证据与未授权边界。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模拟：供方改版须说明变更范围，门店不得自行补造行业信息。</w:t>
      </w:r>
    </w:p>
    <w:p>
      <w:pPr>
        <w:pStyle w:val="Heading1"/>
      </w:pPr>
      <w:r>
        <w:t>适用条件与处置</w:t>
      </w:r>
    </w:p>
    <w:p>
      <w:r>
        <w:t>模拟：当标签链接不可访问而印刷信息需补充时，采购要求供方在回执中明确：修复正式来源并核验目标页面。未得到范围确认的行仍是待协商，不因门店已经着急用货就改成已履约。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失效记录和新链接确认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模拟：搜索到第三方页面不等于厂商授权来源。真实厂商、行业和法律要求应另查可核实原始指引；这里没有生成相关阈值。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35为STORE03提供SKU229和SKU230；这只是本场景供货联系。本供货附件适用于这两个商品的标签改版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