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寄售结算 同款混存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STORE03，SUP27，SKU053、SKU054。场景：寄售结算 / 同款混存。本件为供货附件，用途是明确本次商业决定、证据与未授权边界。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模拟：寄售按售出、退回和盘存核对，收到货不等于买断 模拟修订已生效：修订后促销折扣授权必须关联寄售批次，泛称同意活动不再足够。。</w:t>
      </w:r>
    </w:p>
    <w:p>
      <w:pPr>
        <w:pStyle w:val="Heading1"/>
      </w:pPr>
      <w:r>
        <w:t>适用条件与处置</w:t>
      </w:r>
    </w:p>
    <w:p>
      <w:r>
        <w:t>模拟：当寄售与自营同款被放在同一无标仓位时，采购要求供方在回执中明确：重建批次身份后分别盘存。未得到范围确认的行仍是待协商，不因门店已经着急用货就改成已履约。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两类进货协议与批次台账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模拟：外观一致不代表所有权相同。真实厂商、行业和法律要求应另查可核实原始指引；这里没有生成相关阈值。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27为STORE03提供SKU053和SKU054；这只是本场景供货联系。本供货附件适用于这两个商品的寄售结算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模拟版本2。本修订替代SYN-F27-B1-supplier-1-v1的角色条款；新增要求为：修订后促销折扣授权必须关联寄售批次，泛称同意活动不再足够。历史日期仍按旧版判断。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