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寄售结算 损耗争议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STORE07，SUP07，SKU173、SKU174。场景：寄售结算 / 损耗争议。本件为供货附件，用途是明确本次商业决定、证据与未授权边界。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模拟：寄售按售出、退回和盘存核对，收到货不等于买断。</w:t>
      </w:r>
    </w:p>
    <w:p>
      <w:pPr>
        <w:pStyle w:val="Heading1"/>
      </w:pPr>
      <w:r>
        <w:t>适用条件与处置</w:t>
      </w:r>
    </w:p>
    <w:p>
      <w:r>
        <w:t>模拟：当盘点短少而门店拟按未售全部退回时，采购要求供方在回执中明确：将实物缺口单独争议，不虚记退货。未得到范围确认的行仍是待协商，不因门店已经着急用货就改成已履约。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盘点记录和退回实点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模拟：账面剩余数不能代替返仓实物。真实厂商、行业和法律要求应另查可核实原始指引；这里没有生成相关阈值。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07为STORE07提供SKU173和SKU174；这只是本场景供货联系。本供货附件适用于这两个商品的寄售结算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