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未售到期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STORE05，SUP37，SKU233、SKU234。场景：寄售结算 / 未售到期。本件为供货附件，用途是明确本次商业决定、证据与未授权边界。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模拟：寄售按售出、退回和盘存核对，收到货不等于买断。</w:t>
      </w:r>
    </w:p>
    <w:p>
      <w:pPr>
        <w:pStyle w:val="Heading1"/>
      </w:pPr>
      <w:r>
        <w:t>适用条件与处置</w:t>
      </w:r>
    </w:p>
    <w:p>
      <w:r>
        <w:t>模拟：当寄售期结束而仍有未售库存时，采购要求供方在回执中明确：按约定退回或续期，保留所有权状态。未得到范围确认的行仍是待协商，不因门店已经着急用货就改成已履约。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到期清单与续约结果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模拟：商品留在门店不自动变为自营采购。真实厂商、行业和法律要求应另查可核实原始指引；这里没有生成相关阈值。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37为STORE05提供SKU233和SKU234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