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活动专用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STORE02，SUP18，SKU115、SKU116。场景：跨店调拨 / 活动专用。本件为供货附件，用途是明确本次商业决定、证据与未授权边界。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模拟：调拨不改变原供方条款，跨店适用需核各店批准。</w:t>
      </w:r>
    </w:p>
    <w:p>
      <w:pPr>
        <w:pStyle w:val="Heading1"/>
      </w:pPr>
      <w:r>
        <w:t>适用条件与处置</w:t>
      </w:r>
    </w:p>
    <w:p>
      <w:r>
        <w:t>模拟：当发出店调拨仅限本店活动的包装时，采购要求供方在回执中明确：接收店先取得用途许可，暂不投入常规销售。未得到范围确认的行仍是待协商，不因门店已经着急用货就改成已履约。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活动范围和调拨批准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模拟：所有权转移不等于活动使用权转移。真实厂商、行业和法律要求应另查可核实原始指引；这里没有生成相关阈值。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18为STORE02提供SKU115和SKU116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