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跨店调拨 部分接收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STORE06，SUP38，SKU235、SKU236。场景：跨店调拨 / 部分接收。本件为供货附件，用途是明确本次商业决定、证据与未授权边界。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模拟：调拨不改变原供方条款，跨店适用需核各店批准。</w:t>
      </w:r>
    </w:p>
    <w:p>
      <w:pPr>
        <w:pStyle w:val="Heading1"/>
      </w:pPr>
      <w:r>
        <w:t>适用条件与处置</w:t>
      </w:r>
    </w:p>
    <w:p>
      <w:r>
        <w:t>模拟：当接收店核到部分短少时，采购要求供方在回执中明确：仅确认实收，短少进入在途争议。未得到范围确认的行仍是待协商，不因门店已经着急用货就改成已履约。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发出清单和接收差异，作为供方确认附件逐项回传。未取得必要批准或材料时保持待核，不直接执行放行、替换或退款。模拟盘点演练清单为36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模拟：发出全数不证明接收全数。真实厂商、行业和法律要求应另查可核实原始指引；这里没有生成相关阈值。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38为STORE06提供SKU235和SKU236；这只是本场景供货联系。本供货附件适用于这两个商品的跨店调拨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