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异店归还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STORE06，SUP30，SKU059、SKU060。场景：包装回收 / 异店归还。本件为供货附件，用途是明确本次商业决定、证据与未授权边界。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模拟：争议结算补充：领用凭证和跨店规则应分别标记已取得与待补交。采购先核供方确认范围，再决定争议行是补交、撤销还是待协商；本附件不承诺赔偿金额。同品牌门店不一定可办理退押。 模拟修订已生效：修订后退押需关联原领用记录，单凭带回同款容器不能确认押金权利。。</w:t>
      </w:r>
    </w:p>
    <w:p>
      <w:pPr>
        <w:pStyle w:val="Heading1"/>
      </w:pPr>
      <w:r>
        <w:t>适用条件与处置</w:t>
      </w:r>
    </w:p>
    <w:p>
      <w:r>
        <w:t>模拟：当顾客到非领用店退回周转箱时，采购要求供方在回执中明确：按跨店归还授权处理，先查原领用。未得到范围确认的行仍是待协商，不因门店已经着急用货就改成已履约。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领用凭证和跨店规则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模拟：同品牌门店不一定可办理退押。真实厂商、行业和法律要求应另查可核实原始指引；这里没有生成相关阈值。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059和SKU060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模拟版本2。本修订替代SYN-F30-B1-supplier-2-v1的角色条款；新增要求为：修订后退押需关联原领用记录，单凭带回同款容器不能确认押金权利。历史日期仍按旧版判断。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