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标志磨损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STORE04，SUP20，SKU119、SKU120。场景：包装回收 / 标志磨损。本件为供货附件，用途是明确本次商业决定、证据与未授权边界。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模拟：争议结算补充：容器照片与原领用信息应分别标记已取得与待补交。采购先核供方确认范围，再决定争议行是补交、撤销还是待协商；本附件不承诺赔偿金额。外观相同不能证明属于押金项目。。</w:t>
      </w:r>
    </w:p>
    <w:p>
      <w:pPr>
        <w:pStyle w:val="Heading1"/>
      </w:pPr>
      <w:r>
        <w:t>适用条件与处置</w:t>
      </w:r>
    </w:p>
    <w:p>
      <w:r>
        <w:t>模拟：当容器型号相同但识别标志无法读取时，采购要求供方在回执中明确：记录待核身份，不直接确认退押。未得到范围确认的行仍是待协商，不因门店已经着急用货就改成已履约。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容器照片与原领用信息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模拟：外观相同不能证明属于押金项目。真实厂商、行业和法律要求应另查可核实原始指引；这里没有生成相关阈值。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20为STORE04提供SKU119和SKU120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