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包装回收 赠盒混入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STORE08，SUP40，SKU239、SKU240。场景：包装回收 / 赠盒混入。本件为供货附件，用途是明确本次商业决定、证据与未授权边界。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模拟：争议结算补充：活动赠品记录与押金领用单应分别标记已取得与待补交。采购先核供方确认范围，再决定争议行是补交、撤销还是待协商；本附件不承诺赔偿金额。包装可重复使用不说明收过押金。。</w:t>
      </w:r>
    </w:p>
    <w:p>
      <w:pPr>
        <w:pStyle w:val="Heading1"/>
      </w:pPr>
      <w:r>
        <w:t>适用条件与处置</w:t>
      </w:r>
    </w:p>
    <w:p>
      <w:r>
        <w:t>模拟：当顾客拿活动赠盒要求退押时，采购要求供方在回执中明确：核物料身份，赠盒不自动享有押金退款。未得到范围确认的行仍是待协商，不因门店已经着急用货就改成已履约。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活动赠品记录与押金领用单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模拟：包装可重复使用不说明收过押金。真实厂商、行业和法律要求应另查可核实原始指引；这里没有生成相关阈值。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40为STORE08提供SKU239和SKU240；这只是本场景供货联系。本供货附件适用于这两个商品的包装回收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