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7F79" w14:textId="3C431A34" w:rsidR="001E0E6E" w:rsidRDefault="00A2268D" w:rsidP="00A2268D">
      <w:pPr>
        <w:pStyle w:val="1"/>
      </w:pPr>
      <w:r w:rsidRPr="00A2268D">
        <w:t>Display Engine</w:t>
      </w:r>
    </w:p>
    <w:p w14:paraId="67CCE957" w14:textId="77777777" w:rsidR="00A2268D" w:rsidRDefault="00A2268D" w:rsidP="00A2268D"/>
    <w:p w14:paraId="75511A2C" w14:textId="2C58DAC1" w:rsidR="00A2268D" w:rsidRDefault="00A2268D" w:rsidP="00A2268D">
      <w:pPr>
        <w:pStyle w:val="a7"/>
        <w:numPr>
          <w:ilvl w:val="0"/>
          <w:numId w:val="2"/>
        </w:numPr>
        <w:ind w:firstLineChars="0"/>
      </w:pPr>
      <w:r w:rsidRPr="00A2268D">
        <w:t>4 个 macrolayer</w:t>
      </w:r>
    </w:p>
    <w:p w14:paraId="046045C5" w14:textId="77777777" w:rsidR="00A2268D" w:rsidRDefault="00A2268D" w:rsidP="00A2268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每个</w:t>
      </w:r>
      <w:r>
        <w:t xml:space="preserve"> macrolayer 包含 4 个 sublayer</w:t>
      </w:r>
    </w:p>
    <w:p w14:paraId="7C6144A5" w14:textId="0849EE3B" w:rsidR="00A2268D" w:rsidRDefault="00A2268D" w:rsidP="00A2268D">
      <w:pPr>
        <w:pStyle w:val="a7"/>
        <w:numPr>
          <w:ilvl w:val="1"/>
          <w:numId w:val="2"/>
        </w:numPr>
        <w:ind w:firstLineChars="0"/>
      </w:pPr>
      <w:r>
        <w:t>Sublayer 之间可以 overlap，非 top 层的数据不会读取以节省带宽</w:t>
      </w:r>
    </w:p>
    <w:p w14:paraId="3A9362FB" w14:textId="4E1292E0" w:rsidR="00A2268D" w:rsidRDefault="00A2268D" w:rsidP="00A2268D">
      <w:pPr>
        <w:pStyle w:val="a7"/>
        <w:numPr>
          <w:ilvl w:val="1"/>
          <w:numId w:val="2"/>
        </w:numPr>
        <w:ind w:firstLineChars="0"/>
      </w:pPr>
      <w:r>
        <w:t>Sublayer 支持 xflip, yflip</w:t>
      </w:r>
    </w:p>
    <w:p w14:paraId="43490688" w14:textId="500A26F4" w:rsidR="00A2268D" w:rsidRDefault="00A2268D" w:rsidP="00A2268D">
      <w:pPr>
        <w:pStyle w:val="a7"/>
        <w:numPr>
          <w:ilvl w:val="1"/>
          <w:numId w:val="2"/>
        </w:numPr>
        <w:ind w:firstLineChars="0"/>
      </w:pPr>
      <w:r>
        <w:t>Sublayer 支持 饱和度、对比度、亮度调整</w:t>
      </w:r>
    </w:p>
    <w:p w14:paraId="638C76F5" w14:textId="016FFCE3" w:rsidR="00A2268D" w:rsidRDefault="00A2268D" w:rsidP="00A2268D">
      <w:pPr>
        <w:pStyle w:val="a7"/>
        <w:numPr>
          <w:ilvl w:val="1"/>
          <w:numId w:val="2"/>
        </w:numPr>
        <w:ind w:firstLineChars="0"/>
      </w:pPr>
      <w:r>
        <w:t>每个 sublayer 支持多种格式，并支持 crop</w:t>
      </w:r>
    </w:p>
    <w:p w14:paraId="1EBC6FE5" w14:textId="6603E586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ARGB8888， ABGR8888， RGBA8888， BGRA8888</w:t>
      </w:r>
    </w:p>
    <w:p w14:paraId="3E1D6455" w14:textId="30064669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RGB 888, BGR 888</w:t>
      </w:r>
    </w:p>
    <w:p w14:paraId="089ED6F1" w14:textId="3EFAFE02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RGB565， BGR565</w:t>
      </w:r>
    </w:p>
    <w:p w14:paraId="50A888A8" w14:textId="27247154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ARGB1555， ABGR1555， RGBA5551， BGRA5551</w:t>
      </w:r>
    </w:p>
    <w:p w14:paraId="6C8F7C35" w14:textId="2B3E6687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YUV 4:2:0 planer 8bit/10bit(仅支持 1 个全屏的 sublayer 层)</w:t>
      </w:r>
    </w:p>
    <w:p w14:paraId="579CDBAA" w14:textId="7A667896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YUV/YVU 420 semi 8bit/10bit (仅支持 1 个全屏的 sublayer 层)</w:t>
      </w:r>
    </w:p>
    <w:p w14:paraId="37A3DD81" w14:textId="037B10B1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IMG FBDC 16x4</w:t>
      </w:r>
    </w:p>
    <w:p w14:paraId="2475620D" w14:textId="519205FD" w:rsidR="00A2268D" w:rsidRDefault="00A2268D" w:rsidP="00A2268D">
      <w:pPr>
        <w:pStyle w:val="a7"/>
        <w:numPr>
          <w:ilvl w:val="2"/>
          <w:numId w:val="2"/>
        </w:numPr>
        <w:ind w:firstLineChars="0"/>
      </w:pPr>
      <w:r>
        <w:t>YUV TILE 8bit/10bit (TBD) (仅支持 1 个全屏的 sublayer 层)</w:t>
      </w:r>
    </w:p>
    <w:p w14:paraId="463F4B70" w14:textId="18466184" w:rsidR="00A2268D" w:rsidRDefault="00A2268D" w:rsidP="00A2268D">
      <w:pPr>
        <w:pStyle w:val="a7"/>
        <w:numPr>
          <w:ilvl w:val="1"/>
          <w:numId w:val="2"/>
        </w:numPr>
        <w:ind w:firstLineChars="0"/>
      </w:pPr>
      <w:r>
        <w:t>每个 macrolayer overlap 后有一次 scale 机会</w:t>
      </w:r>
    </w:p>
    <w:p w14:paraId="053DE2CE" w14:textId="1CDD1927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RGB 类为 bilinear 缩放</w:t>
      </w:r>
    </w:p>
    <w:p w14:paraId="3232A784" w14:textId="40912915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YUV 类为 (TBD)缩放</w:t>
      </w:r>
    </w:p>
    <w:p w14:paraId="6C540C17" w14:textId="45C9ECF6" w:rsidR="00F65EA6" w:rsidRDefault="00A2268D" w:rsidP="00F65EA6">
      <w:pPr>
        <w:pStyle w:val="a7"/>
        <w:numPr>
          <w:ilvl w:val="1"/>
          <w:numId w:val="4"/>
        </w:numPr>
        <w:ind w:firstLineChars="0"/>
      </w:pPr>
      <w:r>
        <w:t>缩放比例[1/8,8]</w:t>
      </w:r>
    </w:p>
    <w:p w14:paraId="36EA6EAF" w14:textId="27F49064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sublayer 输入图像的范围：</w:t>
      </w:r>
    </w:p>
    <w:p w14:paraId="5AA50C2F" w14:textId="50C9A1C7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输入图像格式为 YUV 4:2:0 planar 时宽度： [2, 4096]，高度： [2, 4096]</w:t>
      </w:r>
    </w:p>
    <w:p w14:paraId="08D15466" w14:textId="398E8048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输入图像格式为 YUV 4:2:0 semi 时宽度： [2, 4096]，高度： [2, 4096]</w:t>
      </w:r>
    </w:p>
    <w:p w14:paraId="619F810E" w14:textId="58E25061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输入图像格式为 RGB 类(ARGB8888， RGB888， ARGB1555 等)，宽度： [1, 4096]，</w:t>
      </w:r>
    </w:p>
    <w:p w14:paraId="3F26D22C" w14:textId="77777777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高度：</w:t>
      </w:r>
      <w:r>
        <w:t xml:space="preserve"> [1, 4096]</w:t>
      </w:r>
    </w:p>
    <w:p w14:paraId="4F59C4E4" w14:textId="22AC94B7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Macrolayer 输出尺寸范围：</w:t>
      </w:r>
    </w:p>
    <w:p w14:paraId="41E32FAD" w14:textId="146CCCD2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图像格式为 YUV 类时： TBD</w:t>
      </w:r>
    </w:p>
    <w:p w14:paraId="43A8D950" w14:textId="17300C6E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其它格式时，宽度： [1, 4096]，高度： [1, 4096]</w:t>
      </w:r>
    </w:p>
    <w:p w14:paraId="3FA5A742" w14:textId="60F0B841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Blender 支持多种混叠模式</w:t>
      </w:r>
    </w:p>
    <w:p w14:paraId="510E569B" w14:textId="6F85A879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最高 4 层图像叠加</w:t>
      </w:r>
    </w:p>
    <w:p w14:paraId="2E1D6B06" w14:textId="25DAE183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多种 android 制定混叠模式 TBD</w:t>
      </w:r>
    </w:p>
    <w:p w14:paraId="399FA28B" w14:textId="73106016" w:rsidR="00A2268D" w:rsidRDefault="00A2268D" w:rsidP="00A2268D">
      <w:pPr>
        <w:pStyle w:val="a7"/>
        <w:numPr>
          <w:ilvl w:val="1"/>
          <w:numId w:val="4"/>
        </w:numPr>
        <w:ind w:firstLineChars="0"/>
      </w:pPr>
      <w:r>
        <w:t>Dim 层</w:t>
      </w:r>
    </w:p>
    <w:p w14:paraId="3C2B6E69" w14:textId="5AFC918A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图像增强功能 TBD</w:t>
      </w:r>
    </w:p>
    <w:p w14:paraId="693789A9" w14:textId="0B11F49A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Dither 功能及 GAMMA 功能</w:t>
      </w:r>
    </w:p>
    <w:p w14:paraId="12A8F83B" w14:textId="43FFCA1F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支持的显示设备有： TBD</w:t>
      </w:r>
    </w:p>
    <w:p w14:paraId="7747AF1F" w14:textId="7DF7F4B0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支持 HDMI 3D 的数据格式</w:t>
      </w:r>
    </w:p>
    <w:p w14:paraId="3005E712" w14:textId="52C91261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支持图像 1:1 或缩小（水平垂直 bilinear,缩小功能仅限于 path2 的回写）回写，回写格</w:t>
      </w:r>
      <w:r>
        <w:rPr>
          <w:rFonts w:hint="eastAsia"/>
        </w:rPr>
        <w:t>式支持</w:t>
      </w:r>
      <w:r>
        <w:t xml:space="preserve"> RGB 888 及 YUV 420 SEMI(仅限于 path2, path1 仅支持 a2r10g10b10 回写)</w:t>
      </w:r>
    </w:p>
    <w:p w14:paraId="6D7E6312" w14:textId="66BDF457" w:rsidR="00A2268D" w:rsidRDefault="00A2268D" w:rsidP="00F65EA6">
      <w:pPr>
        <w:pStyle w:val="a7"/>
        <w:numPr>
          <w:ilvl w:val="1"/>
          <w:numId w:val="2"/>
        </w:numPr>
        <w:ind w:firstLineChars="0"/>
      </w:pPr>
      <w:r>
        <w:t>Path2 的 R/G/B 8 级直方图统计</w:t>
      </w:r>
    </w:p>
    <w:p w14:paraId="3D737BAB" w14:textId="3FC7CEDA" w:rsidR="00A2268D" w:rsidRDefault="00A2268D" w:rsidP="00A2268D">
      <w:pPr>
        <w:pStyle w:val="a7"/>
        <w:numPr>
          <w:ilvl w:val="0"/>
          <w:numId w:val="4"/>
        </w:numPr>
        <w:ind w:firstLineChars="0"/>
      </w:pPr>
      <w:r>
        <w:lastRenderedPageBreak/>
        <w:t>单独的 rotation 模块支持 ARGB/RGB565/RGB24BIT/YUV 420 SEMI 旋转</w:t>
      </w:r>
    </w:p>
    <w:p w14:paraId="7573CD56" w14:textId="769959D2" w:rsidR="00A2268D" w:rsidRDefault="00A2268D" w:rsidP="00A2268D"/>
    <w:p w14:paraId="7417B79C" w14:textId="4CEBD248" w:rsidR="00A2268D" w:rsidRDefault="00A2268D" w:rsidP="00A2268D">
      <w:bookmarkStart w:id="0" w:name="_GoBack"/>
      <w:bookmarkEnd w:id="0"/>
    </w:p>
    <w:p w14:paraId="0DEF02AE" w14:textId="25467D9E" w:rsidR="00A2268D" w:rsidRDefault="00A2268D" w:rsidP="00A2268D"/>
    <w:p w14:paraId="1C4DD6EA" w14:textId="713A918B" w:rsidR="00A2268D" w:rsidRDefault="00A2268D" w:rsidP="00A2268D"/>
    <w:p w14:paraId="6EEE66B9" w14:textId="77777777" w:rsidR="00A2268D" w:rsidRPr="00A2268D" w:rsidRDefault="00A2268D" w:rsidP="00A2268D">
      <w:pPr>
        <w:rPr>
          <w:rFonts w:hint="eastAsia"/>
        </w:rPr>
      </w:pPr>
    </w:p>
    <w:p w14:paraId="05C82D07" w14:textId="56030877" w:rsidR="00A2268D" w:rsidRDefault="00A2268D" w:rsidP="00A2268D">
      <w:pPr>
        <w:pStyle w:val="1"/>
      </w:pPr>
      <w:r>
        <w:t>E</w:t>
      </w:r>
      <w:r>
        <w:rPr>
          <w:rFonts w:hint="eastAsia"/>
        </w:rPr>
        <w:t>nd</w:t>
      </w:r>
    </w:p>
    <w:sectPr w:rsidR="00A2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552F" w14:textId="77777777" w:rsidR="00A2268D" w:rsidRDefault="00A2268D" w:rsidP="00A2268D">
      <w:r>
        <w:separator/>
      </w:r>
    </w:p>
  </w:endnote>
  <w:endnote w:type="continuationSeparator" w:id="0">
    <w:p w14:paraId="2E30A7A7" w14:textId="77777777" w:rsidR="00A2268D" w:rsidRDefault="00A2268D" w:rsidP="00A2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84AB" w14:textId="77777777" w:rsidR="00A2268D" w:rsidRDefault="00A2268D" w:rsidP="00A2268D">
      <w:r>
        <w:separator/>
      </w:r>
    </w:p>
  </w:footnote>
  <w:footnote w:type="continuationSeparator" w:id="0">
    <w:p w14:paraId="3677DBCD" w14:textId="77777777" w:rsidR="00A2268D" w:rsidRDefault="00A2268D" w:rsidP="00A2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E2BE6"/>
    <w:multiLevelType w:val="hybridMultilevel"/>
    <w:tmpl w:val="9BEA0B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5F5B45"/>
    <w:multiLevelType w:val="hybridMultilevel"/>
    <w:tmpl w:val="645E0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162BE2"/>
    <w:multiLevelType w:val="hybridMultilevel"/>
    <w:tmpl w:val="B53A17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173A15"/>
    <w:multiLevelType w:val="hybridMultilevel"/>
    <w:tmpl w:val="78249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08"/>
    <w:rsid w:val="00262FBE"/>
    <w:rsid w:val="00547008"/>
    <w:rsid w:val="00643A46"/>
    <w:rsid w:val="00796BA1"/>
    <w:rsid w:val="00A2268D"/>
    <w:rsid w:val="00F43D7D"/>
    <w:rsid w:val="00F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BD30B"/>
  <w15:chartTrackingRefBased/>
  <w15:docId w15:val="{323187A4-0982-47CF-9062-6BC9EAD8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2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6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268D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A2268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A2268D"/>
    <w:rPr>
      <w:rFonts w:ascii="Wingdings" w:hAnsi="Wingding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A2268D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A2268D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A2268D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A22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4</cp:revision>
  <dcterms:created xsi:type="dcterms:W3CDTF">2018-03-12T06:36:00Z</dcterms:created>
  <dcterms:modified xsi:type="dcterms:W3CDTF">2018-03-12T06:47:00Z</dcterms:modified>
</cp:coreProperties>
</file>