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952500" cy="68911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2857500" cy="160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2952750" cy="1552575"/>
            <wp:effectExtent b="0" l="0" r="0" t="0"/>
            <wp:docPr descr="صورة الخبر الثاني" id="2" name="image4.jpg"/>
            <a:graphic>
              <a:graphicData uri="http://schemas.openxmlformats.org/drawingml/2006/picture">
                <pic:pic>
                  <pic:nvPicPr>
                    <pic:cNvPr descr="صورة الخبر الثاني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المستأجرين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السكنية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2857500" cy="1600200"/>
            <wp:effectExtent b="0" l="0" r="0" t="0"/>
            <wp:docPr descr="صورة الخبر الثالث" id="4" name="image3.png"/>
            <a:graphic>
              <a:graphicData uri="http://schemas.openxmlformats.org/drawingml/2006/picture">
                <pic:pic>
                  <pic:nvPicPr>
                    <pic:cNvPr descr="صورة الخبر الثالث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الفساد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الشفافية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الحكومية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الفساد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الشفافية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الحكومية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التشريعات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© 2024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legalwebsite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  <w:bidi w:val="1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2" Type="http://schemas.openxmlformats.org/officeDocument/2006/relationships/image" Target="media/image3.png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