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5B6"/>
          <w:spacing w:val="40"/>
          <w:sz w:val="18"/>
          <w:szCs w:val="18"/>
        </w:rPr>
        <w:t xml:space="preserve">PERSONAL PROJECT  |  FULL ANALYSIS REPORT</w:t>
      </w:r>
    </w:p>
    <w:p>
      <w:pPr>
        <w:spacing w:after="100"/>
      </w:pPr>
      <w:r>
        <w:rPr>
          <w:rFonts w:ascii="Calibri" w:cs="Calibri" w:eastAsia="Calibri" w:hAnsi="Calibri"/>
          <w:b/>
          <w:bCs/>
          <w:color w:val="1F4E79"/>
          <w:sz w:val="48"/>
          <w:szCs w:val="48"/>
        </w:rPr>
        <w:t xml:space="preserve">U.S. Hospital Value and Market Intelligence Analysis</w:t>
      </w:r>
    </w:p>
    <w:p>
      <w:pPr>
        <w:pBdr>
          <w:bottom w:val="single" w:color="2E75B6" w:sz="12" w:space="6"/>
        </w:pBdr>
        <w:spacing w:after="200"/>
      </w:pPr>
      <w:r>
        <w:rPr>
          <w:rFonts w:ascii="Calibri" w:cs="Calibri" w:eastAsia="Calibri" w:hAnsi="Calibri"/>
          <w:i/>
          <w:iCs/>
          <w:color w:val="595959"/>
          <w:sz w:val="23"/>
          <w:szCs w:val="23"/>
        </w:rPr>
        <w:t xml:space="preserve">Hospital performance benchmarking and county-level market screening using CMS and Census data</w:t>
      </w:r>
    </w:p>
    <w:p>
      <w:pPr>
        <w:spacing w:after="80"/>
      </w:pPr>
      <w:r>
        <w:rPr>
          <w:rFonts w:ascii="Calibri" w:cs="Calibri" w:eastAsia="Calibri" w:hAnsi="Calibri"/>
          <w:b/>
          <w:bCs/>
          <w:color w:val="1F4E79"/>
          <w:sz w:val="22"/>
          <w:szCs w:val="2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line="259"/>
            </w:pPr>
            <w:r>
              <w:rPr>
                <w:rFonts w:ascii="Calibri" w:cs="Calibri" w:eastAsia="Calibri" w:hAnsi="Calibri"/>
                <w:b/>
                <w:bCs/>
                <w:color w:val="FFFFFF"/>
                <w:sz w:val="19"/>
                <w:szCs w:val="19"/>
              </w:rPr>
              <w:t xml:space="preserve">#</w:t>
            </w:r>
          </w:p>
        </w:tc>
        <w:tc>
          <w:tcPr>
            <w:tcW w:type="dxa" w:w="8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line="259"/>
            </w:pPr>
            <w:r>
              <w:rPr>
                <w:rFonts w:ascii="Calibri" w:cs="Calibri" w:eastAsia="Calibri" w:hAnsi="Calibri"/>
                <w:b/>
                <w:bCs/>
                <w:color w:val="FFFFFF"/>
                <w:sz w:val="19"/>
                <w:szCs w:val="19"/>
              </w:rPr>
              <w:t xml:space="preserve">Section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1</w:t>
            </w:r>
          </w:p>
        </w:tc>
        <w:tc>
          <w:tcPr>
            <w:tcW w:type="dxa" w:w="8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Project Goal and Approach</w:t>
            </w:r>
          </w:p>
        </w:tc>
      </w:tr>
      <w:tr>
        <w:trPr>
          <w:cantSplit/>
        </w:trPr>
        <w:tc>
          <w:tcPr>
            <w:tcW w:type="dxa" w:w="7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2</w:t>
            </w:r>
          </w:p>
        </w:tc>
        <w:tc>
          <w:tcPr>
            <w:tcW w:type="dxa" w:w="866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Dataset Description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3</w:t>
            </w:r>
          </w:p>
        </w:tc>
        <w:tc>
          <w:tcPr>
            <w:tcW w:type="dxa" w:w="8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Data Processing Steps</w:t>
            </w:r>
          </w:p>
        </w:tc>
      </w:tr>
      <w:tr>
        <w:trPr>
          <w:cantSplit/>
        </w:trPr>
        <w:tc>
          <w:tcPr>
            <w:tcW w:type="dxa" w:w="7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4</w:t>
            </w:r>
          </w:p>
        </w:tc>
        <w:tc>
          <w:tcPr>
            <w:tcW w:type="dxa" w:w="866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Core Analyses: Hospital Landscape, Overall Performance, Patient Experience, Cost Efficiency, Operational Outcomes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5</w:t>
            </w:r>
          </w:p>
        </w:tc>
        <w:tc>
          <w:tcPr>
            <w:tcW w:type="dxa" w:w="8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Additional Questions: Market Access, Improvement Opportunity (Hospital Value Index)</w:t>
            </w:r>
          </w:p>
        </w:tc>
      </w:tr>
      <w:tr>
        <w:trPr>
          <w:cantSplit/>
        </w:trPr>
        <w:tc>
          <w:tcPr>
            <w:tcW w:type="dxa" w:w="7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6</w:t>
            </w:r>
          </w:p>
        </w:tc>
        <w:tc>
          <w:tcPr>
            <w:tcW w:type="dxa" w:w="866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Final Business Takeaway</w:t>
            </w:r>
          </w:p>
        </w:tc>
      </w:tr>
    </w:tbl>
    <w:p>
      <w:pPr>
        <w:pStyle w:val="Heading1"/>
        <w:keepNext/>
        <w:pBdr>
          <w:bottom w:val="single" w:color="1F4E79" w:sz="8" w:space="2"/>
        </w:pBdr>
        <w:spacing w:after="140" w:before="360"/>
      </w:pPr>
      <w:r>
        <w:rPr>
          <w:rFonts w:ascii="Calibri" w:cs="Calibri" w:eastAsia="Calibri" w:hAnsi="Calibri"/>
          <w:b/>
          <w:bCs/>
          <w:color w:val="1F4E79"/>
          <w:sz w:val="30"/>
          <w:szCs w:val="30"/>
        </w:rPr>
        <w:t xml:space="preserve">1. Project Goal and Approach</w:t>
      </w:r>
    </w:p>
    <w:p>
      <w:pPr>
        <w:pStyle w:val="Heading3"/>
        <w:keepNext/>
        <w:spacing w:after="60" w:before="180"/>
      </w:pPr>
      <w:r>
        <w:rPr>
          <w:rFonts w:ascii="Calibri" w:cs="Calibri" w:eastAsia="Calibri" w:hAnsi="Calibri"/>
          <w:b/>
          <w:bCs/>
          <w:color w:val="1F4E79"/>
          <w:spacing w:val="30"/>
          <w:sz w:val="18"/>
          <w:szCs w:val="18"/>
        </w:rPr>
        <w:t xml:space="preserve">GOAL</w:t>
      </w:r>
    </w:p>
    <w:p>
      <w:pPr>
        <w:pBdr>
          <w:left w:val="single" w:color="2E75B6" w:sz="18" w:space="8"/>
        </w:pBdr>
        <w:spacing w:after="120" w:line="276"/>
        <w:ind w:left="200"/>
      </w:pPr>
      <w:r>
        <w:rPr>
          <w:rFonts w:ascii="Calibri" w:cs="Calibri" w:eastAsia="Calibri" w:hAnsi="Calibri"/>
          <w:i/>
          <w:iCs/>
          <w:color w:val="595959"/>
          <w:sz w:val="22"/>
          <w:szCs w:val="22"/>
        </w:rPr>
        <w:t xml:space="preserve">Which hospitals deliver the strongest combination of quality, patient experience, and cost efficiency, and which geographic markets present the greatest opportunities for improvement or expansion?</w:t>
      </w:r>
    </w:p>
    <w:p>
      <w:pPr>
        <w:spacing w:after="110" w:line="276"/>
      </w:pPr>
      <w:r>
        <w:rPr>
          <w:rFonts w:ascii="Calibri" w:cs="Calibri" w:eastAsia="Calibri" w:hAnsi="Calibri"/>
          <w:color w:val="262626"/>
          <w:sz w:val="21"/>
          <w:szCs w:val="21"/>
        </w:rPr>
        <w:t xml:space="preserve">When we want to understand and answer the above problem, we need to analyze it from various aspects and give the answer after comprehensive consideration. Therefore, I broke down this big problem into small, easy-to-answer sub-questions where each sub-question answers one aspect of the problem.</w:t>
      </w:r>
    </w:p>
    <w:p>
      <w:pPr>
        <w:spacing w:after="110" w:line="276"/>
      </w:pPr>
      <w:r>
        <w:rPr>
          <w:rFonts w:ascii="Calibri" w:cs="Calibri" w:eastAsia="Calibri" w:hAnsi="Calibri"/>
          <w:color w:val="262626"/>
          <w:sz w:val="21"/>
          <w:szCs w:val="21"/>
        </w:rPr>
        <w:t xml:space="preserve">To answer this broader business problem, the previous analyses evaluated hospital distribution, overall quality, patient experience, Medicare spending, readmission performance, and geographic hospital availability independently. These findings were then integrated into a final decision-support framework that evaluates both </w:t>
      </w:r>
      <w:r>
        <w:rPr>
          <w:rFonts w:ascii="Calibri" w:cs="Calibri" w:eastAsia="Calibri" w:hAnsi="Calibri"/>
          <w:b/>
          <w:bCs/>
          <w:color w:val="262626"/>
          <w:sz w:val="21"/>
          <w:szCs w:val="21"/>
        </w:rPr>
        <w:t xml:space="preserve">hospital-level value</w:t>
      </w:r>
      <w:r>
        <w:rPr>
          <w:rFonts w:ascii="Calibri" w:cs="Calibri" w:eastAsia="Calibri" w:hAnsi="Calibri"/>
          <w:color w:val="262626"/>
          <w:sz w:val="21"/>
          <w:szCs w:val="21"/>
        </w:rPr>
        <w:t xml:space="preserve"> and </w:t>
      </w:r>
      <w:r>
        <w:rPr>
          <w:rFonts w:ascii="Calibri" w:cs="Calibri" w:eastAsia="Calibri" w:hAnsi="Calibri"/>
          <w:b/>
          <w:bCs/>
          <w:color w:val="262626"/>
          <w:sz w:val="21"/>
          <w:szCs w:val="21"/>
        </w:rPr>
        <w:t xml:space="preserve">market-level expansion opportunity</w:t>
      </w:r>
      <w:r>
        <w:rPr>
          <w:rFonts w:ascii="Calibri" w:cs="Calibri" w:eastAsia="Calibri" w:hAnsi="Calibri"/>
          <w:color w:val="262626"/>
          <w:sz w:val="21"/>
          <w:szCs w:val="21"/>
        </w:rPr>
        <w:t xml:space="preserve">.</w:t>
      </w:r>
    </w:p>
    <w:p>
      <w:pPr>
        <w:pStyle w:val="Heading3"/>
        <w:keepNext/>
        <w:spacing w:after="60" w:before="180"/>
      </w:pPr>
      <w:r>
        <w:rPr>
          <w:rFonts w:ascii="Calibri" w:cs="Calibri" w:eastAsia="Calibri" w:hAnsi="Calibri"/>
          <w:b/>
          <w:bCs/>
          <w:color w:val="1F4E79"/>
          <w:spacing w:val="30"/>
          <w:sz w:val="18"/>
          <w:szCs w:val="18"/>
        </w:rPr>
        <w:t xml:space="preserve">QUESTIONS</w:t>
      </w:r>
    </w:p>
    <w:p>
      <w:pPr>
        <w:keepNext/>
        <w:spacing w:after="70" w:before="140" w:line="276"/>
      </w:pPr>
      <w:r>
        <w:rPr>
          <w:rFonts w:ascii="Calibri" w:cs="Calibri" w:eastAsia="Calibri" w:hAnsi="Calibri"/>
          <w:b/>
          <w:bCs/>
          <w:color w:val="1F4E79"/>
          <w:sz w:val="22"/>
          <w:szCs w:val="22"/>
        </w:rPr>
        <w:t xml:space="preserve">Core questions</w:t>
      </w:r>
    </w:p>
    <w:p>
      <w:pPr>
        <w:pStyle w:val="ListParagraph"/>
        <w:numPr>
          <w:ilvl w:val="0"/>
          <w:numId w:val="2"/>
        </w:numPr>
        <w:spacing w:after="60" w:line="269"/>
      </w:pPr>
      <w:r>
        <w:rPr>
          <w:rFonts w:ascii="Calibri" w:cs="Calibri" w:eastAsia="Calibri" w:hAnsi="Calibri"/>
          <w:b/>
          <w:bCs/>
          <w:color w:val="262626"/>
          <w:sz w:val="21"/>
          <w:szCs w:val="21"/>
        </w:rPr>
        <w:t xml:space="preserve">1. Hospital Landscape:</w:t>
      </w:r>
      <w:r>
        <w:rPr>
          <w:rFonts w:ascii="Calibri" w:cs="Calibri" w:eastAsia="Calibri" w:hAnsi="Calibri"/>
          <w:color w:val="262626"/>
          <w:sz w:val="21"/>
          <w:szCs w:val="21"/>
        </w:rPr>
        <w:t xml:space="preserve"> How are hospitals distributed across states, counties, ownership types, and hospital types?</w:t>
      </w:r>
    </w:p>
    <w:p>
      <w:pPr>
        <w:pStyle w:val="ListParagraph"/>
        <w:numPr>
          <w:ilvl w:val="0"/>
          <w:numId w:val="2"/>
        </w:numPr>
        <w:spacing w:after="60" w:line="269"/>
      </w:pPr>
      <w:r>
        <w:rPr>
          <w:rFonts w:ascii="Calibri" w:cs="Calibri" w:eastAsia="Calibri" w:hAnsi="Calibri"/>
          <w:b/>
          <w:bCs/>
          <w:color w:val="262626"/>
          <w:sz w:val="21"/>
          <w:szCs w:val="21"/>
        </w:rPr>
        <w:t xml:space="preserve">2. Overall Performance:</w:t>
      </w:r>
      <w:r>
        <w:rPr>
          <w:rFonts w:ascii="Calibri" w:cs="Calibri" w:eastAsia="Calibri" w:hAnsi="Calibri"/>
          <w:color w:val="262626"/>
          <w:sz w:val="21"/>
          <w:szCs w:val="21"/>
        </w:rPr>
        <w:t xml:space="preserve"> Which hospitals, states, and ownership types have the strongest overall quality performance?</w:t>
      </w:r>
    </w:p>
    <w:p>
      <w:pPr>
        <w:pStyle w:val="ListParagraph"/>
        <w:numPr>
          <w:ilvl w:val="0"/>
          <w:numId w:val="2"/>
        </w:numPr>
        <w:spacing w:after="60" w:line="269"/>
      </w:pPr>
      <w:r>
        <w:rPr>
          <w:rFonts w:ascii="Calibri" w:cs="Calibri" w:eastAsia="Calibri" w:hAnsi="Calibri"/>
          <w:b/>
          <w:bCs/>
          <w:color w:val="262626"/>
          <w:sz w:val="21"/>
          <w:szCs w:val="21"/>
        </w:rPr>
        <w:t xml:space="preserve">3. Patient Experience:</w:t>
      </w:r>
      <w:r>
        <w:rPr>
          <w:rFonts w:ascii="Calibri" w:cs="Calibri" w:eastAsia="Calibri" w:hAnsi="Calibri"/>
          <w:color w:val="262626"/>
          <w:sz w:val="21"/>
          <w:szCs w:val="21"/>
        </w:rPr>
        <w:t xml:space="preserve"> Which hospitals provide the strongest patient experience, and which service dimensions drive patient recommendations?</w:t>
      </w:r>
    </w:p>
    <w:p>
      <w:pPr>
        <w:pStyle w:val="ListParagraph"/>
        <w:numPr>
          <w:ilvl w:val="0"/>
          <w:numId w:val="2"/>
        </w:numPr>
        <w:spacing w:after="60" w:line="269"/>
      </w:pPr>
      <w:r>
        <w:rPr>
          <w:rFonts w:ascii="Calibri" w:cs="Calibri" w:eastAsia="Calibri" w:hAnsi="Calibri"/>
          <w:b/>
          <w:bCs/>
          <w:color w:val="262626"/>
          <w:sz w:val="21"/>
          <w:szCs w:val="21"/>
        </w:rPr>
        <w:t xml:space="preserve">4. Cost Efficiency:</w:t>
      </w:r>
      <w:r>
        <w:rPr>
          <w:rFonts w:ascii="Calibri" w:cs="Calibri" w:eastAsia="Calibri" w:hAnsi="Calibri"/>
          <w:color w:val="262626"/>
          <w:sz w:val="21"/>
          <w:szCs w:val="21"/>
        </w:rPr>
        <w:t xml:space="preserve"> Which hospitals deliver strong quality while keeping Medicare spending below the national benchmark?</w:t>
      </w:r>
    </w:p>
    <w:p>
      <w:pPr>
        <w:pStyle w:val="ListParagraph"/>
        <w:numPr>
          <w:ilvl w:val="0"/>
          <w:numId w:val="2"/>
        </w:numPr>
        <w:spacing w:after="60" w:line="269"/>
      </w:pPr>
      <w:r>
        <w:rPr>
          <w:rFonts w:ascii="Calibri" w:cs="Calibri" w:eastAsia="Calibri" w:hAnsi="Calibri"/>
          <w:b/>
          <w:bCs/>
          <w:color w:val="262626"/>
          <w:sz w:val="21"/>
          <w:szCs w:val="21"/>
        </w:rPr>
        <w:t xml:space="preserve">5. Operational Outcomes:</w:t>
      </w:r>
      <w:r>
        <w:rPr>
          <w:rFonts w:ascii="Calibri" w:cs="Calibri" w:eastAsia="Calibri" w:hAnsi="Calibri"/>
          <w:color w:val="262626"/>
          <w:sz w:val="21"/>
          <w:szCs w:val="21"/>
        </w:rPr>
        <w:t xml:space="preserve"> Which hospitals have higher-than-expected readmission or unplanned visit rates?</w:t>
      </w:r>
    </w:p>
    <w:p>
      <w:pPr>
        <w:keepNext/>
        <w:spacing w:after="70" w:before="140" w:line="276"/>
      </w:pPr>
      <w:r>
        <w:rPr>
          <w:rFonts w:ascii="Calibri" w:cs="Calibri" w:eastAsia="Calibri" w:hAnsi="Calibri"/>
          <w:b/>
          <w:bCs/>
          <w:color w:val="1F4E79"/>
          <w:sz w:val="22"/>
          <w:szCs w:val="22"/>
        </w:rPr>
        <w:t xml:space="preserve">Additional questions</w:t>
      </w:r>
    </w:p>
    <w:p>
      <w:pPr>
        <w:pStyle w:val="ListParagraph"/>
        <w:numPr>
          <w:ilvl w:val="0"/>
          <w:numId w:val="2"/>
        </w:numPr>
        <w:spacing w:after="60" w:line="269"/>
      </w:pPr>
      <w:r>
        <w:rPr>
          <w:rFonts w:ascii="Calibri" w:cs="Calibri" w:eastAsia="Calibri" w:hAnsi="Calibri"/>
          <w:b/>
          <w:bCs/>
          <w:color w:val="262626"/>
          <w:sz w:val="21"/>
          <w:szCs w:val="21"/>
        </w:rPr>
        <w:t xml:space="preserve">1. Market Access:</w:t>
      </w:r>
      <w:r>
        <w:rPr>
          <w:rFonts w:ascii="Calibri" w:cs="Calibri" w:eastAsia="Calibri" w:hAnsi="Calibri"/>
          <w:color w:val="262626"/>
          <w:sz w:val="21"/>
          <w:szCs w:val="21"/>
        </w:rPr>
        <w:t xml:space="preserve"> Which counties may have insufficient hospital capacity relative to their population?</w:t>
      </w:r>
    </w:p>
    <w:p>
      <w:pPr>
        <w:pStyle w:val="ListParagraph"/>
        <w:numPr>
          <w:ilvl w:val="0"/>
          <w:numId w:val="2"/>
        </w:numPr>
        <w:spacing w:after="60" w:line="269"/>
      </w:pPr>
      <w:r>
        <w:rPr>
          <w:rFonts w:ascii="Calibri" w:cs="Calibri" w:eastAsia="Calibri" w:hAnsi="Calibri"/>
          <w:b/>
          <w:bCs/>
          <w:color w:val="262626"/>
          <w:sz w:val="21"/>
          <w:szCs w:val="21"/>
        </w:rPr>
        <w:t xml:space="preserve">2. Improvement Opportunity:</w:t>
      </w:r>
      <w:r>
        <w:rPr>
          <w:rFonts w:ascii="Calibri" w:cs="Calibri" w:eastAsia="Calibri" w:hAnsi="Calibri"/>
          <w:color w:val="262626"/>
          <w:sz w:val="21"/>
          <w:szCs w:val="21"/>
        </w:rPr>
        <w:t xml:space="preserve"> Which hospitals and markets should be prioritized for operational improvement or future expansion?</w:t>
      </w:r>
    </w:p>
    <w:p>
      <w:pPr>
        <w:pStyle w:val="Heading1"/>
        <w:keepNext/>
        <w:pBdr>
          <w:bottom w:val="single" w:color="1F4E79" w:sz="8" w:space="2"/>
        </w:pBdr>
        <w:spacing w:after="140" w:before="360"/>
      </w:pPr>
      <w:r>
        <w:rPr>
          <w:rFonts w:ascii="Calibri" w:cs="Calibri" w:eastAsia="Calibri" w:hAnsi="Calibri"/>
          <w:b/>
          <w:bCs/>
          <w:color w:val="1F4E79"/>
          <w:sz w:val="30"/>
          <w:szCs w:val="30"/>
        </w:rPr>
        <w:t xml:space="preserve">2. Dataset Description</w:t>
      </w:r>
    </w:p>
    <w:p>
      <w:pPr>
        <w:spacing w:after="110" w:line="276"/>
      </w:pPr>
      <w:r>
        <w:rPr>
          <w:rFonts w:ascii="Calibri" w:cs="Calibri" w:eastAsia="Calibri" w:hAnsi="Calibri"/>
          <w:color w:val="262626"/>
          <w:sz w:val="21"/>
          <w:szCs w:val="21"/>
        </w:rPr>
        <w:t xml:space="preserve">The analysis draws on five datasets. Hospital-level tables share Facility ID as the join key, and the Census table supplies county population for the 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2700"/>
        <w:gridCol w:w="228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line="259"/>
            </w:pPr>
            <w:r>
              <w:rPr>
                <w:rFonts w:ascii="Calibri" w:cs="Calibri" w:eastAsia="Calibri" w:hAnsi="Calibri"/>
                <w:b/>
                <w:bCs/>
                <w:color w:val="FFFFFF"/>
                <w:sz w:val="19"/>
                <w:szCs w:val="19"/>
              </w:rPr>
              <w:t xml:space="preserve">Dataset</w:t>
            </w:r>
          </w:p>
        </w:tc>
        <w:tc>
          <w:tcPr>
            <w:tcW w:type="dxa" w:w="24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line="259"/>
            </w:pPr>
            <w:r>
              <w:rPr>
                <w:rFonts w:ascii="Calibri" w:cs="Calibri" w:eastAsia="Calibri" w:hAnsi="Calibri"/>
                <w:b/>
                <w:bCs/>
                <w:color w:val="FFFFFF"/>
                <w:sz w:val="19"/>
                <w:szCs w:val="19"/>
              </w:rPr>
              <w:t xml:space="preserve">Purpose</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line="259"/>
            </w:pPr>
            <w:r>
              <w:rPr>
                <w:rFonts w:ascii="Calibri" w:cs="Calibri" w:eastAsia="Calibri" w:hAnsi="Calibri"/>
                <w:b/>
                <w:bCs/>
                <w:color w:val="FFFFFF"/>
                <w:sz w:val="19"/>
                <w:szCs w:val="19"/>
              </w:rPr>
              <w:t xml:space="preserve">Data grain</w:t>
            </w:r>
          </w:p>
        </w:tc>
        <w:tc>
          <w:tcPr>
            <w:tcW w:type="dxa" w:w="22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line="259"/>
            </w:pPr>
            <w:r>
              <w:rPr>
                <w:rFonts w:ascii="Calibri" w:cs="Calibri" w:eastAsia="Calibri" w:hAnsi="Calibri"/>
                <w:b/>
                <w:bCs/>
                <w:color w:val="FFFFFF"/>
                <w:sz w:val="19"/>
                <w:szCs w:val="19"/>
              </w:rPr>
              <w:t xml:space="preserve">Key</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1. General Hospital Information</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Provide general information for each hospital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Each row represents one unique hospital and provides details through each column</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Unique identifier: Facility ID</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2. Patient Survey</w:t>
            </w:r>
          </w:p>
        </w:tc>
        <w:tc>
          <w:tcPr>
            <w:tcW w:type="dxa" w:w="248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Show how patients rate their hospitals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Each row represents a patient’s survey for one hospital</w:t>
            </w:r>
          </w:p>
        </w:tc>
        <w:tc>
          <w:tcPr>
            <w:tcW w:type="dxa" w:w="228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Candidate key: Facility ID + HCAHPS Measure ID</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3. Medicare Spending Per Beneficiary</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Medicare spending per beneficiary for each hospital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One row per hospital</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Unique identifier: Facility ID</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4. Unplanned Hospital Visits</w:t>
            </w:r>
          </w:p>
        </w:tc>
        <w:tc>
          <w:tcPr>
            <w:tcW w:type="dxa" w:w="248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Unplanned visit and readmission measures for each hospital</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Each row represents an unplanned visit for one hospital</w:t>
            </w:r>
          </w:p>
        </w:tc>
        <w:tc>
          <w:tcPr>
            <w:tcW w:type="dxa" w:w="2280"/>
            <w:tcBorders>
              <w:top w:val="single" w:color="BFBFBF" w:sz="4"/>
              <w:left w:val="single" w:color="BFBFBF" w:sz="4"/>
              <w:bottom w:val="single" w:color="BFBFBF" w:sz="4"/>
              <w:right w:val="single" w:color="BFBFBF" w:sz="4"/>
            </w:tcBorders>
            <w:shd w:fill="F5F8FB" w:color="auto" w:val="clear"/>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Candidate key: Facility ID + Measure ID</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b/>
                <w:bCs/>
                <w:color w:val="262626"/>
                <w:sz w:val="19"/>
                <w:szCs w:val="19"/>
              </w:rPr>
              <w:t xml:space="preserve">5. Census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County population for market-access analysis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Each combination of STATE, COUNTY, and YEAR identifies exactly one row, reduced to state and county by only selecting the latest year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59"/>
            </w:pPr>
            <w:r>
              <w:rPr>
                <w:rFonts w:ascii="Calibri" w:cs="Calibri" w:eastAsia="Calibri" w:hAnsi="Calibri"/>
                <w:color w:val="262626"/>
                <w:sz w:val="19"/>
                <w:szCs w:val="19"/>
              </w:rPr>
              <w:t xml:space="preserve">State + County (latest year)</w:t>
            </w:r>
          </w:p>
        </w:tc>
      </w:tr>
    </w:tbl>
    <w:p>
      <w:pPr>
        <w:spacing w:after="60"/>
      </w:pPr>
    </w:p>
    <w:p>
      <w:pPr>
        <w:keepNext/>
        <w:spacing w:after="70" w:before="140" w:line="276"/>
      </w:pPr>
      <w:r>
        <w:rPr>
          <w:rFonts w:ascii="Calibri" w:cs="Calibri" w:eastAsia="Calibri" w:hAnsi="Calibri"/>
          <w:b/>
          <w:bCs/>
          <w:color w:val="1F4E79"/>
          <w:sz w:val="22"/>
          <w:szCs w:val="22"/>
        </w:rPr>
        <w:t xml:space="preserve">Additional details: Unplanned Hospital Visits</w:t>
      </w:r>
    </w:p>
    <w:p>
      <w:pPr>
        <w:pStyle w:val="ListParagraph"/>
        <w:numPr>
          <w:ilvl w:val="0"/>
          <w:numId w:val="2"/>
        </w:numPr>
        <w:spacing w:after="60" w:line="269"/>
      </w:pPr>
      <w:r>
        <w:rPr>
          <w:rFonts w:ascii="Calibri" w:cs="Calibri" w:eastAsia="Calibri" w:hAnsi="Calibri"/>
          <w:b/>
          <w:bCs/>
          <w:color w:val="262626"/>
          <w:sz w:val="21"/>
          <w:szCs w:val="21"/>
        </w:rPr>
        <w:t xml:space="preserve">Candidate key:</w:t>
      </w:r>
      <w:r>
        <w:rPr>
          <w:rFonts w:ascii="Calibri" w:cs="Calibri" w:eastAsia="Calibri" w:hAnsi="Calibri"/>
          <w:color w:val="262626"/>
          <w:sz w:val="21"/>
          <w:szCs w:val="21"/>
        </w:rPr>
        <w:t xml:space="preserve"> Facility ID + Measure ID</w:t>
      </w:r>
    </w:p>
    <w:p>
      <w:pPr>
        <w:pStyle w:val="ListParagraph"/>
        <w:numPr>
          <w:ilvl w:val="0"/>
          <w:numId w:val="2"/>
        </w:numPr>
        <w:spacing w:after="60" w:line="269"/>
      </w:pPr>
      <w:r>
        <w:rPr>
          <w:rFonts w:ascii="Calibri" w:cs="Calibri" w:eastAsia="Calibri" w:hAnsi="Calibri"/>
          <w:b/>
          <w:bCs/>
          <w:color w:val="262626"/>
          <w:sz w:val="21"/>
          <w:szCs w:val="21"/>
        </w:rPr>
        <w:t xml:space="preserve">Join key:</w:t>
      </w:r>
      <w:r>
        <w:rPr>
          <w:rFonts w:ascii="Calibri" w:cs="Calibri" w:eastAsia="Calibri" w:hAnsi="Calibri"/>
          <w:color w:val="262626"/>
          <w:sz w:val="21"/>
          <w:szCs w:val="21"/>
        </w:rPr>
        <w:t xml:space="preserve"> Facility ID</w:t>
      </w:r>
    </w:p>
    <w:p>
      <w:pPr>
        <w:pStyle w:val="ListParagraph"/>
        <w:numPr>
          <w:ilvl w:val="0"/>
          <w:numId w:val="2"/>
        </w:numPr>
        <w:spacing w:after="60" w:line="269"/>
      </w:pPr>
      <w:r>
        <w:rPr>
          <w:rFonts w:ascii="Calibri" w:cs="Calibri" w:eastAsia="Calibri" w:hAnsi="Calibri"/>
          <w:b/>
          <w:bCs/>
          <w:color w:val="262626"/>
          <w:sz w:val="21"/>
          <w:szCs w:val="21"/>
        </w:rPr>
        <w:t xml:space="preserve">Format:</w:t>
      </w:r>
      <w:r>
        <w:rPr>
          <w:rFonts w:ascii="Calibri" w:cs="Calibri" w:eastAsia="Calibri" w:hAnsi="Calibri"/>
          <w:color w:val="262626"/>
          <w:sz w:val="21"/>
          <w:szCs w:val="21"/>
        </w:rPr>
        <w:t xml:space="preserve"> long</w:t>
      </w:r>
    </w:p>
    <w:p>
      <w:pPr>
        <w:pStyle w:val="ListParagraph"/>
        <w:numPr>
          <w:ilvl w:val="0"/>
          <w:numId w:val="2"/>
        </w:numPr>
        <w:spacing w:after="60" w:line="269"/>
      </w:pPr>
      <w:r>
        <w:rPr>
          <w:rFonts w:ascii="Calibri" w:cs="Calibri" w:eastAsia="Calibri" w:hAnsi="Calibri"/>
          <w:b/>
          <w:bCs/>
          <w:color w:val="262626"/>
          <w:sz w:val="21"/>
          <w:szCs w:val="21"/>
        </w:rPr>
        <w:t xml:space="preserve">Main fields:</w:t>
      </w:r>
      <w:r>
        <w:rPr>
          <w:rFonts w:ascii="Calibri" w:cs="Calibri" w:eastAsia="Calibri" w:hAnsi="Calibri"/>
          <w:color w:val="262626"/>
          <w:sz w:val="21"/>
          <w:szCs w:val="21"/>
        </w:rPr>
        <w:t xml:space="preserve"> score, national comparison, denominator, confidence interval</w:t>
      </w:r>
    </w:p>
    <w:p>
      <w:pPr>
        <w:pStyle w:val="Heading1"/>
        <w:keepNext/>
        <w:pBdr>
          <w:bottom w:val="single" w:color="1F4E79" w:sz="8" w:space="2"/>
        </w:pBdr>
        <w:spacing w:after="140" w:before="360"/>
      </w:pPr>
      <w:r>
        <w:rPr>
          <w:rFonts w:ascii="Calibri" w:cs="Calibri" w:eastAsia="Calibri" w:hAnsi="Calibri"/>
          <w:b/>
          <w:bCs/>
          <w:color w:val="1F4E79"/>
          <w:sz w:val="30"/>
          <w:szCs w:val="30"/>
        </w:rPr>
        <w:t xml:space="preserve">3. Data Processing Steps</w:t>
      </w:r>
    </w:p>
    <w:p>
      <w:pPr>
        <w:pStyle w:val="ListParagraph"/>
        <w:numPr>
          <w:ilvl w:val="0"/>
          <w:numId w:val="3"/>
        </w:numPr>
        <w:spacing w:after="60" w:line="269"/>
      </w:pPr>
      <w:r>
        <w:rPr>
          <w:rFonts w:ascii="Calibri" w:cs="Calibri" w:eastAsia="Calibri" w:hAnsi="Calibri"/>
          <w:color w:val="262626"/>
          <w:sz w:val="21"/>
          <w:szCs w:val="21"/>
        </w:rPr>
        <w:t xml:space="preserve">Check general info: shape, columns, and understand what this dataset is about</w:t>
      </w:r>
    </w:p>
    <w:p>
      <w:pPr>
        <w:pStyle w:val="ListParagraph"/>
        <w:numPr>
          <w:ilvl w:val="0"/>
          <w:numId w:val="3"/>
        </w:numPr>
        <w:spacing w:after="60" w:line="269"/>
      </w:pPr>
      <w:r>
        <w:rPr>
          <w:rFonts w:ascii="Calibri" w:cs="Calibri" w:eastAsia="Calibri" w:hAnsi="Calibri"/>
          <w:color w:val="262626"/>
          <w:sz w:val="21"/>
          <w:szCs w:val="21"/>
        </w:rPr>
        <w:t xml:space="preserve">Check data grain and uniqueness, start by guessing</w:t>
      </w:r>
    </w:p>
    <w:p>
      <w:pPr>
        <w:pStyle w:val="ListParagraph"/>
        <w:numPr>
          <w:ilvl w:val="0"/>
          <w:numId w:val="3"/>
        </w:numPr>
        <w:spacing w:after="60" w:line="269"/>
      </w:pPr>
      <w:r>
        <w:rPr>
          <w:rFonts w:ascii="Calibri" w:cs="Calibri" w:eastAsia="Calibri" w:hAnsi="Calibri"/>
          <w:color w:val="262626"/>
          <w:sz w:val="21"/>
          <w:szCs w:val="21"/>
        </w:rPr>
        <w:t xml:space="preserve">Select relevant columns</w:t>
      </w:r>
    </w:p>
    <w:p>
      <w:pPr>
        <w:pStyle w:val="ListParagraph"/>
        <w:numPr>
          <w:ilvl w:val="0"/>
          <w:numId w:val="3"/>
        </w:numPr>
        <w:spacing w:after="60" w:line="269"/>
      </w:pPr>
      <w:r>
        <w:rPr>
          <w:rFonts w:ascii="Calibri" w:cs="Calibri" w:eastAsia="Calibri" w:hAnsi="Calibri"/>
          <w:color w:val="262626"/>
          <w:sz w:val="21"/>
          <w:szCs w:val="21"/>
        </w:rPr>
        <w:t xml:space="preserve">Check for missingness, and understand why the information is missing, then decide whether to use imputation methods or drop the column</w:t>
      </w:r>
    </w:p>
    <w:p>
      <w:pPr>
        <w:pStyle w:val="ListParagraph"/>
        <w:numPr>
          <w:ilvl w:val="0"/>
          <w:numId w:val="3"/>
        </w:numPr>
        <w:spacing w:after="60" w:line="269"/>
      </w:pPr>
      <w:r>
        <w:rPr>
          <w:rFonts w:ascii="Calibri" w:cs="Calibri" w:eastAsia="Calibri" w:hAnsi="Calibri"/>
          <w:color w:val="262626"/>
          <w:sz w:val="21"/>
          <w:szCs w:val="21"/>
        </w:rPr>
        <w:t xml:space="preserve">Check categorical values using value_counts()</w:t>
      </w:r>
    </w:p>
    <w:p>
      <w:pPr>
        <w:pStyle w:val="ListParagraph"/>
        <w:numPr>
          <w:ilvl w:val="0"/>
          <w:numId w:val="3"/>
        </w:numPr>
        <w:spacing w:after="60" w:line="269"/>
      </w:pPr>
      <w:r>
        <w:rPr>
          <w:rFonts w:ascii="Calibri" w:cs="Calibri" w:eastAsia="Calibri" w:hAnsi="Calibri"/>
          <w:color w:val="262626"/>
          <w:sz w:val="21"/>
          <w:szCs w:val="21"/>
        </w:rPr>
        <w:t xml:space="preserve">Create useful calculated columns if needed</w:t>
      </w:r>
    </w:p>
    <w:p>
      <w:pPr>
        <w:pStyle w:val="ListParagraph"/>
        <w:numPr>
          <w:ilvl w:val="0"/>
          <w:numId w:val="3"/>
        </w:numPr>
        <w:spacing w:after="60" w:line="269"/>
      </w:pPr>
      <w:r>
        <w:rPr>
          <w:rFonts w:ascii="Calibri" w:cs="Calibri" w:eastAsia="Calibri" w:hAnsi="Calibri"/>
          <w:color w:val="262626"/>
          <w:sz w:val="21"/>
          <w:szCs w:val="21"/>
        </w:rPr>
        <w:t xml:space="preserve">Standardize column names, pivot tables, or apply other dataframe manipulation</w:t>
      </w:r>
    </w:p>
    <w:p>
      <w:pPr>
        <w:pStyle w:val="ListParagraph"/>
        <w:numPr>
          <w:ilvl w:val="0"/>
          <w:numId w:val="3"/>
        </w:numPr>
        <w:spacing w:after="60" w:line="269"/>
      </w:pPr>
      <w:r>
        <w:rPr>
          <w:rFonts w:ascii="Calibri" w:cs="Calibri" w:eastAsia="Calibri" w:hAnsi="Calibri"/>
          <w:color w:val="262626"/>
          <w:sz w:val="21"/>
          <w:szCs w:val="21"/>
        </w:rPr>
        <w:t xml:space="preserve">Export</w:t>
      </w:r>
    </w:p>
    <w:p>
      <w:pPr>
        <w:pStyle w:val="Heading1"/>
        <w:keepNext/>
        <w:pBdr>
          <w:bottom w:val="single" w:color="1F4E79" w:sz="8" w:space="2"/>
        </w:pBdr>
        <w:spacing w:after="140" w:before="360"/>
      </w:pPr>
      <w:r>
        <w:rPr>
          <w:rFonts w:ascii="Calibri" w:cs="Calibri" w:eastAsia="Calibri" w:hAnsi="Calibri"/>
          <w:b/>
          <w:bCs/>
          <w:color w:val="1F4E79"/>
          <w:sz w:val="30"/>
          <w:szCs w:val="30"/>
        </w:rPr>
        <w:t xml:space="preserve">4. Core Analyses</w:t>
      </w:r>
    </w:p>
    <w:p>
      <w:pPr>
        <w:pStyle w:val="Heading2"/>
        <w:keepNext/>
        <w:spacing w:after="80" w:before="300"/>
      </w:pPr>
      <w:r>
        <w:rPr>
          <w:rFonts w:ascii="Calibri" w:cs="Calibri" w:eastAsia="Calibri" w:hAnsi="Calibri"/>
          <w:b/>
          <w:bCs/>
          <w:color w:val="2E75B6"/>
          <w:sz w:val="25"/>
          <w:szCs w:val="25"/>
        </w:rPr>
        <w:t xml:space="preserve">4.1 Hospital Landscape</w:t>
      </w:r>
    </w:p>
    <w:p>
      <w:pPr>
        <w:pBdr>
          <w:left w:val="single" w:color="2E75B6" w:sz="18" w:space="8"/>
        </w:pBdr>
        <w:spacing w:after="120" w:line="276"/>
        <w:ind w:left="200"/>
      </w:pPr>
      <w:r>
        <w:rPr>
          <w:rFonts w:ascii="Calibri" w:cs="Calibri" w:eastAsia="Calibri" w:hAnsi="Calibri"/>
          <w:i/>
          <w:iCs/>
          <w:color w:val="595959"/>
          <w:sz w:val="22"/>
          <w:szCs w:val="22"/>
        </w:rPr>
        <w:t xml:space="preserve">How are hospitals distributed across states, counties, ownership types, and hospital types?</w:t>
      </w:r>
    </w:p>
    <w:p>
      <w:pPr>
        <w:pStyle w:val="Heading3"/>
        <w:keepNext/>
        <w:spacing w:after="60" w:before="180"/>
      </w:pPr>
      <w:r>
        <w:rPr>
          <w:rFonts w:ascii="Calibri" w:cs="Calibri" w:eastAsia="Calibri" w:hAnsi="Calibri"/>
          <w:b/>
          <w:bCs/>
          <w:color w:val="1F4E79"/>
          <w:spacing w:val="30"/>
          <w:sz w:val="18"/>
          <w:szCs w:val="18"/>
        </w:rPr>
        <w:t xml:space="preserve">METHODOLOGY</w:t>
      </w:r>
    </w:p>
    <w:p>
      <w:pPr>
        <w:spacing w:after="110" w:line="276"/>
      </w:pPr>
      <w:r>
        <w:rPr>
          <w:rFonts w:ascii="Calibri" w:cs="Calibri" w:eastAsia="Calibri" w:hAnsi="Calibri"/>
          <w:color w:val="262626"/>
          <w:sz w:val="21"/>
          <w:szCs w:val="21"/>
        </w:rPr>
        <w:t xml:space="preserve">Hospital distribution was analyzed using the distinct count of Facility ID, with each Facility ID representing a unique hospital. Hospitals were grouped by state, hospital type, and ownership type. Bar charts were used to compare hospital counts across categorical groups, while a geographic map was used to visualize state-level spatial distribution. The state ranking was limited to the top 10 states by hospital count to improve readability.</w:t>
      </w:r>
    </w:p>
    <w:p>
      <w:pPr>
        <w:pStyle w:val="Heading3"/>
        <w:keepNext/>
        <w:spacing w:after="60" w:before="180"/>
      </w:pPr>
      <w:r>
        <w:rPr>
          <w:rFonts w:ascii="Calibri" w:cs="Calibri" w:eastAsia="Calibri" w:hAnsi="Calibri"/>
          <w:b/>
          <w:bCs/>
          <w:color w:val="1F4E79"/>
          <w:spacing w:val="30"/>
          <w:sz w:val="18"/>
          <w:szCs w:val="18"/>
        </w:rPr>
        <w:t xml:space="preserve">KEY FINDINGS</w:t>
      </w:r>
    </w:p>
    <w:p>
      <w:pPr>
        <w:spacing w:after="110" w:line="276"/>
      </w:pPr>
      <w:r>
        <w:rPr>
          <w:rFonts w:ascii="Calibri" w:cs="Calibri" w:eastAsia="Calibri" w:hAnsi="Calibri"/>
          <w:color w:val="262626"/>
          <w:sz w:val="21"/>
          <w:szCs w:val="21"/>
        </w:rPr>
        <w:t xml:space="preserve">Hospital distribution varies substantially across states. Texas had the largest number of hospitals in the dataset with 460 facilities, followed by California with 365, with a noticeable decline among the remaining top states.</w:t>
      </w:r>
    </w:p>
    <w:p>
      <w:pPr>
        <w:spacing w:after="110" w:line="276"/>
      </w:pPr>
      <w:r>
        <w:rPr>
          <w:rFonts w:ascii="Calibri" w:cs="Calibri" w:eastAsia="Calibri" w:hAnsi="Calibri"/>
          <w:color w:val="262626"/>
          <w:sz w:val="21"/>
          <w:szCs w:val="21"/>
        </w:rPr>
        <w:t xml:space="preserve">Acute care hospitals represented the largest hospital type with 3,115 facilities, followed by critical access hospitals with 1,378 and psychiatric hospitals with 635. Children’s hospitals and rural emergency hospitals represented substantially smaller categories.</w:t>
      </w:r>
    </w:p>
    <w:p>
      <w:pPr>
        <w:spacing w:after="110" w:line="276"/>
      </w:pPr>
      <w:r>
        <w:rPr>
          <w:rFonts w:ascii="Calibri" w:cs="Calibri" w:eastAsia="Calibri" w:hAnsi="Calibri"/>
          <w:color w:val="262626"/>
          <w:sz w:val="21"/>
          <w:szCs w:val="21"/>
        </w:rPr>
        <w:t xml:space="preserve">Ownership was also concentrated, with voluntary nonprofit private hospitals representing the largest ownership category at 2,316 facilities, followed by proprietary hospitals at 1,067.</w:t>
      </w:r>
    </w:p>
    <w:p>
      <w:pPr>
        <w:pStyle w:val="Heading3"/>
        <w:keepNext/>
        <w:spacing w:after="60" w:before="180"/>
      </w:pPr>
      <w:r>
        <w:rPr>
          <w:rFonts w:ascii="Calibri" w:cs="Calibri" w:eastAsia="Calibri" w:hAnsi="Calibri"/>
          <w:b/>
          <w:bCs/>
          <w:color w:val="1F4E79"/>
          <w:spacing w:val="30"/>
          <w:sz w:val="18"/>
          <w:szCs w:val="18"/>
        </w:rPr>
        <w:t xml:space="preserve">INTERPRETATION</w:t>
      </w:r>
    </w:p>
    <w:p>
      <w:pPr>
        <w:spacing w:after="110" w:line="276"/>
      </w:pPr>
      <w:r>
        <w:rPr>
          <w:rFonts w:ascii="Calibri" w:cs="Calibri" w:eastAsia="Calibri" w:hAnsi="Calibri"/>
          <w:color w:val="262626"/>
          <w:sz w:val="21"/>
          <w:szCs w:val="21"/>
        </w:rPr>
        <w:t xml:space="preserve">Overall, the results indicate that hospitals are unevenly distributed geographically and are concentrated within several major hospital types and ownership structures. However, state-level hospital counts are absolute counts and do not account for differences in population size. Therefore, a state with more hospitals does not necessarily have greater hospital availability per resident.</w:t>
      </w:r>
    </w:p>
    <w:p>
      <w:pPr>
        <w:pStyle w:val="Heading2"/>
        <w:keepNext/>
        <w:spacing w:after="80" w:before="300"/>
      </w:pPr>
      <w:r>
        <w:rPr>
          <w:rFonts w:ascii="Calibri" w:cs="Calibri" w:eastAsia="Calibri" w:hAnsi="Calibri"/>
          <w:b/>
          <w:bCs/>
          <w:color w:val="2E75B6"/>
          <w:sz w:val="25"/>
          <w:szCs w:val="25"/>
        </w:rPr>
        <w:t xml:space="preserve">4.2 Overall Performance</w:t>
      </w:r>
    </w:p>
    <w:p>
      <w:pPr>
        <w:pBdr>
          <w:left w:val="single" w:color="2E75B6" w:sz="18" w:space="8"/>
        </w:pBdr>
        <w:spacing w:after="120" w:line="276"/>
        <w:ind w:left="200"/>
      </w:pPr>
      <w:r>
        <w:rPr>
          <w:rFonts w:ascii="Calibri" w:cs="Calibri" w:eastAsia="Calibri" w:hAnsi="Calibri"/>
          <w:i/>
          <w:iCs/>
          <w:color w:val="595959"/>
          <w:sz w:val="22"/>
          <w:szCs w:val="22"/>
        </w:rPr>
        <w:t xml:space="preserve">Which hospitals, states, and ownership types have the strongest overall quality performance?</w:t>
      </w:r>
    </w:p>
    <w:p>
      <w:pPr>
        <w:pStyle w:val="Heading3"/>
        <w:keepNext/>
        <w:spacing w:after="60" w:before="180"/>
      </w:pPr>
      <w:r>
        <w:rPr>
          <w:rFonts w:ascii="Calibri" w:cs="Calibri" w:eastAsia="Calibri" w:hAnsi="Calibri"/>
          <w:b/>
          <w:bCs/>
          <w:color w:val="1F4E79"/>
          <w:spacing w:val="30"/>
          <w:sz w:val="18"/>
          <w:szCs w:val="18"/>
        </w:rPr>
        <w:t xml:space="preserve">METHODOLOGY</w:t>
      </w:r>
    </w:p>
    <w:p>
      <w:pPr>
        <w:spacing w:after="110" w:line="276"/>
      </w:pPr>
      <w:r>
        <w:rPr>
          <w:rFonts w:ascii="Calibri" w:cs="Calibri" w:eastAsia="Calibri" w:hAnsi="Calibri"/>
          <w:color w:val="262626"/>
          <w:sz w:val="21"/>
          <w:szCs w:val="21"/>
        </w:rPr>
        <w:t xml:space="preserve">Overall quality performance was evaluated primarily using the CMS Hospital Overall Rating. At the hospital level, facilities receiving a 5-star rating were identified as the highest-rated hospitals. At the state and ownership levels, quality was measured using the </w:t>
      </w:r>
      <w:r>
        <w:rPr>
          <w:rFonts w:ascii="Calibri" w:cs="Calibri" w:eastAsia="Calibri" w:hAnsi="Calibri"/>
          <w:b/>
          <w:bCs/>
          <w:color w:val="262626"/>
          <w:sz w:val="21"/>
          <w:szCs w:val="21"/>
        </w:rPr>
        <w:t xml:space="preserve">High Quality Rate</w:t>
      </w:r>
      <w:r>
        <w:rPr>
          <w:rFonts w:ascii="Calibri" w:cs="Calibri" w:eastAsia="Calibri" w:hAnsi="Calibri"/>
          <w:color w:val="262626"/>
          <w:sz w:val="21"/>
          <w:szCs w:val="21"/>
        </w:rPr>
        <w:t xml:space="preserve">, defined as the percentage of rated hospitals receiving 4 or 5 stars.</w:t>
      </w:r>
    </w:p>
    <w:p>
      <w:pPr>
        <w:spacing w:after="110" w:line="276"/>
      </w:pPr>
      <w:r>
        <w:rPr>
          <w:rFonts w:ascii="Calibri" w:cs="Calibri" w:eastAsia="Calibri" w:hAnsi="Calibri"/>
          <w:color w:val="262626"/>
          <w:sz w:val="21"/>
          <w:szCs w:val="21"/>
        </w:rPr>
        <w:t xml:space="preserve">Hospitals without an available overall rating were excluded from the denominator rather than being treated as low-quality hospitals. The number of rated hospitals was also considered to provide context for differences in sample size across states and ownership groups.</w:t>
      </w:r>
    </w:p>
    <w:p>
      <w:pPr>
        <w:pStyle w:val="Heading3"/>
        <w:keepNext/>
        <w:spacing w:after="60" w:before="180"/>
      </w:pPr>
      <w:r>
        <w:rPr>
          <w:rFonts w:ascii="Calibri" w:cs="Calibri" w:eastAsia="Calibri" w:hAnsi="Calibri"/>
          <w:b/>
          <w:bCs/>
          <w:color w:val="1F4E79"/>
          <w:spacing w:val="30"/>
          <w:sz w:val="18"/>
          <w:szCs w:val="18"/>
        </w:rPr>
        <w:t xml:space="preserve">KEY FINDINGS</w:t>
      </w:r>
    </w:p>
    <w:p>
      <w:pPr>
        <w:spacing w:after="110" w:line="276"/>
      </w:pPr>
      <w:r>
        <w:rPr>
          <w:rFonts w:ascii="Calibri" w:cs="Calibri" w:eastAsia="Calibri" w:hAnsi="Calibri"/>
          <w:color w:val="262626"/>
          <w:sz w:val="21"/>
          <w:szCs w:val="21"/>
        </w:rPr>
        <w:t xml:space="preserve">The overall rating distribution was concentrated in the middle-to-upper categories. Three- and four-star hospitals represented the largest groups, while substantially fewer hospitals received either the lowest rating of one star or the highest rating of five stars.</w:t>
      </w:r>
    </w:p>
    <w:p>
      <w:pPr>
        <w:spacing w:after="110" w:line="276"/>
      </w:pPr>
      <w:r>
        <w:rPr>
          <w:rFonts w:ascii="Calibri" w:cs="Calibri" w:eastAsia="Calibri" w:hAnsi="Calibri"/>
          <w:color w:val="262626"/>
          <w:sz w:val="21"/>
          <w:szCs w:val="21"/>
        </w:rPr>
        <w:t xml:space="preserve">At the individual hospital level, multiple hospitals across different states received the maximum 5-star rating. Because all 5-star hospitals share the same CMS overall rating, the analysis identifies them as the highest-rated group rather than attempting to rank them against one another.</w:t>
      </w:r>
    </w:p>
    <w:p>
      <w:pPr>
        <w:spacing w:after="110" w:line="276"/>
      </w:pPr>
      <w:r>
        <w:rPr>
          <w:rFonts w:ascii="Calibri" w:cs="Calibri" w:eastAsia="Calibri" w:hAnsi="Calibri"/>
          <w:color w:val="262626"/>
          <w:sz w:val="21"/>
          <w:szCs w:val="21"/>
        </w:rPr>
        <w:t xml:space="preserve">At the state level, the High Quality Rate varied considerably. In the current results, </w:t>
      </w:r>
      <w:r>
        <w:rPr>
          <w:rFonts w:ascii="Calibri" w:cs="Calibri" w:eastAsia="Calibri" w:hAnsi="Calibri"/>
          <w:b/>
          <w:bCs/>
          <w:color w:val="262626"/>
          <w:sz w:val="21"/>
          <w:szCs w:val="21"/>
        </w:rPr>
        <w:t xml:space="preserve">Utah had the highest observed proportion of 4- and 5-star hospitals</w:t>
      </w:r>
      <w:r>
        <w:rPr>
          <w:rFonts w:ascii="Calibri" w:cs="Calibri" w:eastAsia="Calibri" w:hAnsi="Calibri"/>
          <w:color w:val="262626"/>
          <w:sz w:val="21"/>
          <w:szCs w:val="21"/>
        </w:rPr>
        <w:t xml:space="preserve">, followed by states including Colorado and South Dakota. However, these percentages should be interpreted alongside the number of hospitals with available ratings, since states with smaller rated samples may show more extreme percentages.</w:t>
      </w:r>
    </w:p>
    <w:p>
      <w:pPr>
        <w:spacing w:after="110" w:line="276"/>
      </w:pPr>
      <w:r>
        <w:rPr>
          <w:rFonts w:ascii="Calibri" w:cs="Calibri" w:eastAsia="Calibri" w:hAnsi="Calibri"/>
          <w:color w:val="262626"/>
          <w:sz w:val="21"/>
          <w:szCs w:val="21"/>
        </w:rPr>
        <w:t xml:space="preserve">Ownership type also showed substantial variation. </w:t>
      </w:r>
      <w:r>
        <w:rPr>
          <w:rFonts w:ascii="Calibri" w:cs="Calibri" w:eastAsia="Calibri" w:hAnsi="Calibri"/>
          <w:b/>
          <w:bCs/>
          <w:color w:val="262626"/>
          <w:sz w:val="21"/>
          <w:szCs w:val="21"/>
        </w:rPr>
        <w:t xml:space="preserve">Veterans Health Administration hospitals had the highest observed High Quality Rate</w:t>
      </w:r>
      <w:r>
        <w:rPr>
          <w:rFonts w:ascii="Calibri" w:cs="Calibri" w:eastAsia="Calibri" w:hAnsi="Calibri"/>
          <w:color w:val="262626"/>
          <w:sz w:val="21"/>
          <w:szCs w:val="21"/>
        </w:rPr>
        <w:t xml:space="preserve"> among the ownership categories shown. Other groups, including tribal, voluntary nonprofit, and physician-owned hospitals, also showed relatively high proportions of 4- and 5-star facilities. In contrast, several government and proprietary ownership categories had lower observed High Quality Rates.</w:t>
      </w:r>
    </w:p>
    <w:p>
      <w:pPr>
        <w:pStyle w:val="Heading3"/>
        <w:keepNext/>
        <w:spacing w:after="60" w:before="180"/>
      </w:pPr>
      <w:r>
        <w:rPr>
          <w:rFonts w:ascii="Calibri" w:cs="Calibri" w:eastAsia="Calibri" w:hAnsi="Calibri"/>
          <w:b/>
          <w:bCs/>
          <w:color w:val="1F4E79"/>
          <w:spacing w:val="30"/>
          <w:sz w:val="18"/>
          <w:szCs w:val="18"/>
        </w:rPr>
        <w:t xml:space="preserve">INTERPRETATION</w:t>
      </w:r>
    </w:p>
    <w:p>
      <w:pPr>
        <w:spacing w:after="110" w:line="276"/>
      </w:pPr>
      <w:r>
        <w:rPr>
          <w:rFonts w:ascii="Calibri" w:cs="Calibri" w:eastAsia="Calibri" w:hAnsi="Calibri"/>
          <w:color w:val="262626"/>
          <w:sz w:val="21"/>
          <w:szCs w:val="21"/>
        </w:rPr>
        <w:t xml:space="preserve">The results suggest that hospital quality is not distributed uniformly across geography or ownership structure. Some states have a substantially larger proportion of hospitals rated four or five stars, while others have a more mixed quality distribution.</w:t>
      </w:r>
    </w:p>
    <w:p>
      <w:pPr>
        <w:spacing w:after="110" w:line="276"/>
      </w:pPr>
      <w:r>
        <w:rPr>
          <w:rFonts w:ascii="Calibri" w:cs="Calibri" w:eastAsia="Calibri" w:hAnsi="Calibri"/>
          <w:color w:val="262626"/>
          <w:sz w:val="21"/>
          <w:szCs w:val="21"/>
        </w:rPr>
        <w:t xml:space="preserve">The ownership analysis also indicates that a higher </w:t>
      </w:r>
      <w:r>
        <w:rPr>
          <w:rFonts w:ascii="Calibri" w:cs="Calibri" w:eastAsia="Calibri" w:hAnsi="Calibri"/>
          <w:b/>
          <w:bCs/>
          <w:color w:val="262626"/>
          <w:sz w:val="21"/>
          <w:szCs w:val="21"/>
        </w:rPr>
        <w:t xml:space="preserve">rate</w:t>
      </w:r>
      <w:r>
        <w:rPr>
          <w:rFonts w:ascii="Calibri" w:cs="Calibri" w:eastAsia="Calibri" w:hAnsi="Calibri"/>
          <w:color w:val="262626"/>
          <w:sz w:val="21"/>
          <w:szCs w:val="21"/>
        </w:rPr>
        <w:t xml:space="preserve"> of high-quality hospitals does not necessarily mean a larger </w:t>
      </w:r>
      <w:r>
        <w:rPr>
          <w:rFonts w:ascii="Calibri" w:cs="Calibri" w:eastAsia="Calibri" w:hAnsi="Calibri"/>
          <w:b/>
          <w:bCs/>
          <w:color w:val="262626"/>
          <w:sz w:val="21"/>
          <w:szCs w:val="21"/>
        </w:rPr>
        <w:t xml:space="preserve">number</w:t>
      </w:r>
      <w:r>
        <w:rPr>
          <w:rFonts w:ascii="Calibri" w:cs="Calibri" w:eastAsia="Calibri" w:hAnsi="Calibri"/>
          <w:color w:val="262626"/>
          <w:sz w:val="21"/>
          <w:szCs w:val="21"/>
        </w:rPr>
        <w:t xml:space="preserve"> of high-quality hospitals. For example, an ownership category with relatively few hospitals may have a very high High Quality Rate, while a much larger ownership group may contain more high-quality hospitals in absolute terms despite having a lower rate.</w:t>
      </w:r>
    </w:p>
    <w:p>
      <w:pPr>
        <w:spacing w:after="110" w:line="276"/>
      </w:pPr>
      <w:r>
        <w:rPr>
          <w:rFonts w:ascii="Calibri" w:cs="Calibri" w:eastAsia="Calibri" w:hAnsi="Calibri"/>
          <w:color w:val="262626"/>
          <w:sz w:val="21"/>
          <w:szCs w:val="21"/>
        </w:rPr>
        <w:t xml:space="preserve">This distinction is important because percentage-based metrics measure the </w:t>
      </w:r>
      <w:r>
        <w:rPr>
          <w:rFonts w:ascii="Calibri" w:cs="Calibri" w:eastAsia="Calibri" w:hAnsi="Calibri"/>
          <w:b/>
          <w:bCs/>
          <w:color w:val="262626"/>
          <w:sz w:val="21"/>
          <w:szCs w:val="21"/>
        </w:rPr>
        <w:t xml:space="preserve">prevalence of high performance within a group</w:t>
      </w:r>
      <w:r>
        <w:rPr>
          <w:rFonts w:ascii="Calibri" w:cs="Calibri" w:eastAsia="Calibri" w:hAnsi="Calibri"/>
          <w:color w:val="262626"/>
          <w:sz w:val="21"/>
          <w:szCs w:val="21"/>
        </w:rPr>
        <w:t xml:space="preserve">, whereas hospital counts reflect the </w:t>
      </w:r>
      <w:r>
        <w:rPr>
          <w:rFonts w:ascii="Calibri" w:cs="Calibri" w:eastAsia="Calibri" w:hAnsi="Calibri"/>
          <w:b/>
          <w:bCs/>
          <w:color w:val="262626"/>
          <w:sz w:val="21"/>
          <w:szCs w:val="21"/>
        </w:rPr>
        <w:t xml:space="preserve">scale of the group</w:t>
      </w:r>
      <w:r>
        <w:rPr>
          <w:rFonts w:ascii="Calibri" w:cs="Calibri" w:eastAsia="Calibri" w:hAnsi="Calibri"/>
          <w:color w:val="262626"/>
          <w:sz w:val="21"/>
          <w:szCs w:val="21"/>
        </w:rPr>
        <w:t xml:space="preserve">.</w:t>
      </w:r>
    </w:p>
    <w:p>
      <w:pPr>
        <w:pStyle w:val="Heading2"/>
        <w:keepNext/>
        <w:spacing w:after="80" w:before="300"/>
      </w:pPr>
      <w:r>
        <w:rPr>
          <w:rFonts w:ascii="Calibri" w:cs="Calibri" w:eastAsia="Calibri" w:hAnsi="Calibri"/>
          <w:b/>
          <w:bCs/>
          <w:color w:val="2E75B6"/>
          <w:sz w:val="25"/>
          <w:szCs w:val="25"/>
        </w:rPr>
        <w:t xml:space="preserve">4.3 Patient Experience</w:t>
      </w:r>
    </w:p>
    <w:p>
      <w:pPr>
        <w:pBdr>
          <w:left w:val="single" w:color="2E75B6" w:sz="18" w:space="8"/>
        </w:pBdr>
        <w:spacing w:after="120" w:line="276"/>
        <w:ind w:left="200"/>
      </w:pPr>
      <w:r>
        <w:rPr>
          <w:rFonts w:ascii="Calibri" w:cs="Calibri" w:eastAsia="Calibri" w:hAnsi="Calibri"/>
          <w:i/>
          <w:iCs/>
          <w:color w:val="595959"/>
          <w:sz w:val="22"/>
          <w:szCs w:val="22"/>
        </w:rPr>
        <w:t xml:space="preserve">Which hospitals provide the strongest patient experience, and which service dimensions drive patient recommendations?</w:t>
      </w:r>
    </w:p>
    <w:p>
      <w:pPr>
        <w:pStyle w:val="Heading3"/>
        <w:keepNext/>
        <w:spacing w:after="60" w:before="180"/>
      </w:pPr>
      <w:r>
        <w:rPr>
          <w:rFonts w:ascii="Calibri" w:cs="Calibri" w:eastAsia="Calibri" w:hAnsi="Calibri"/>
          <w:b/>
          <w:bCs/>
          <w:color w:val="1F4E79"/>
          <w:spacing w:val="30"/>
          <w:sz w:val="18"/>
          <w:szCs w:val="18"/>
        </w:rPr>
        <w:t xml:space="preserve">METHODOLOGY</w:t>
      </w:r>
    </w:p>
    <w:p>
      <w:pPr>
        <w:spacing w:after="110" w:line="276"/>
      </w:pPr>
      <w:r>
        <w:rPr>
          <w:rFonts w:ascii="Calibri" w:cs="Calibri" w:eastAsia="Calibri" w:hAnsi="Calibri"/>
          <w:color w:val="262626"/>
          <w:sz w:val="21"/>
          <w:szCs w:val="21"/>
        </w:rPr>
        <w:t xml:space="preserve">Patient experience was evaluated using CMS HCAHPS survey data. The </w:t>
      </w:r>
      <w:r>
        <w:rPr>
          <w:rFonts w:ascii="Calibri" w:cs="Calibri" w:eastAsia="Calibri" w:hAnsi="Calibri"/>
          <w:b/>
          <w:bCs/>
          <w:color w:val="262626"/>
          <w:sz w:val="21"/>
          <w:szCs w:val="21"/>
        </w:rPr>
        <w:t xml:space="preserve">percentage of patients who would definitely recommend the hospital</w:t>
      </w:r>
      <w:r>
        <w:rPr>
          <w:rFonts w:ascii="Calibri" w:cs="Calibri" w:eastAsia="Calibri" w:hAnsi="Calibri"/>
          <w:color w:val="262626"/>
          <w:sz w:val="21"/>
          <w:szCs w:val="21"/>
        </w:rPr>
        <w:t xml:space="preserve"> (Definitely Recommend Pct) was used as the primary outcome because it directly reflects patients’ willingness to recommend their hospital.</w:t>
      </w:r>
    </w:p>
    <w:p>
      <w:pPr>
        <w:spacing w:after="110" w:line="276"/>
      </w:pPr>
      <w:r>
        <w:rPr>
          <w:rFonts w:ascii="Calibri" w:cs="Calibri" w:eastAsia="Calibri" w:hAnsi="Calibri"/>
          <w:color w:val="262626"/>
          <w:sz w:val="21"/>
          <w:szCs w:val="21"/>
        </w:rPr>
        <w:t xml:space="preserve">Hospitals were compared based on their recommendation rates to identify those with the strongest reported patient experience. To investigate which aspects of the hospital experience were most closely related to recommendation, six service dimensions were analyzed:</w:t>
      </w:r>
    </w:p>
    <w:p>
      <w:pPr>
        <w:pStyle w:val="ListParagraph"/>
        <w:numPr>
          <w:ilvl w:val="0"/>
          <w:numId w:val="2"/>
        </w:numPr>
        <w:spacing w:after="60" w:line="269"/>
      </w:pPr>
      <w:r>
        <w:rPr>
          <w:rFonts w:ascii="Calibri" w:cs="Calibri" w:eastAsia="Calibri" w:hAnsi="Calibri"/>
          <w:color w:val="262626"/>
          <w:sz w:val="21"/>
          <w:szCs w:val="21"/>
        </w:rPr>
        <w:t xml:space="preserve">Nurse Communication</w:t>
      </w:r>
    </w:p>
    <w:p>
      <w:pPr>
        <w:pStyle w:val="ListParagraph"/>
        <w:numPr>
          <w:ilvl w:val="0"/>
          <w:numId w:val="2"/>
        </w:numPr>
        <w:spacing w:after="60" w:line="269"/>
      </w:pPr>
      <w:r>
        <w:rPr>
          <w:rFonts w:ascii="Calibri" w:cs="Calibri" w:eastAsia="Calibri" w:hAnsi="Calibri"/>
          <w:color w:val="262626"/>
          <w:sz w:val="21"/>
          <w:szCs w:val="21"/>
        </w:rPr>
        <w:t xml:space="preserve">Doctor Communication</w:t>
      </w:r>
    </w:p>
    <w:p>
      <w:pPr>
        <w:pStyle w:val="ListParagraph"/>
        <w:numPr>
          <w:ilvl w:val="0"/>
          <w:numId w:val="2"/>
        </w:numPr>
        <w:spacing w:after="60" w:line="269"/>
      </w:pPr>
      <w:r>
        <w:rPr>
          <w:rFonts w:ascii="Calibri" w:cs="Calibri" w:eastAsia="Calibri" w:hAnsi="Calibri"/>
          <w:color w:val="262626"/>
          <w:sz w:val="21"/>
          <w:szCs w:val="21"/>
        </w:rPr>
        <w:t xml:space="preserve">Medication Communication</w:t>
      </w:r>
    </w:p>
    <w:p>
      <w:pPr>
        <w:pStyle w:val="ListParagraph"/>
        <w:numPr>
          <w:ilvl w:val="0"/>
          <w:numId w:val="2"/>
        </w:numPr>
        <w:spacing w:after="60" w:line="269"/>
      </w:pPr>
      <w:r>
        <w:rPr>
          <w:rFonts w:ascii="Calibri" w:cs="Calibri" w:eastAsia="Calibri" w:hAnsi="Calibri"/>
          <w:color w:val="262626"/>
          <w:sz w:val="21"/>
          <w:szCs w:val="21"/>
        </w:rPr>
        <w:t xml:space="preserve">Discharge Information</w:t>
      </w:r>
    </w:p>
    <w:p>
      <w:pPr>
        <w:pStyle w:val="ListParagraph"/>
        <w:numPr>
          <w:ilvl w:val="0"/>
          <w:numId w:val="2"/>
        </w:numPr>
        <w:spacing w:after="60" w:line="269"/>
      </w:pPr>
      <w:r>
        <w:rPr>
          <w:rFonts w:ascii="Calibri" w:cs="Calibri" w:eastAsia="Calibri" w:hAnsi="Calibri"/>
          <w:color w:val="262626"/>
          <w:sz w:val="21"/>
          <w:szCs w:val="21"/>
        </w:rPr>
        <w:t xml:space="preserve">Cleanliness</w:t>
      </w:r>
    </w:p>
    <w:p>
      <w:pPr>
        <w:pStyle w:val="ListParagraph"/>
        <w:numPr>
          <w:ilvl w:val="0"/>
          <w:numId w:val="2"/>
        </w:numPr>
        <w:spacing w:after="60" w:line="269"/>
      </w:pPr>
      <w:r>
        <w:rPr>
          <w:rFonts w:ascii="Calibri" w:cs="Calibri" w:eastAsia="Calibri" w:hAnsi="Calibri"/>
          <w:color w:val="262626"/>
          <w:sz w:val="21"/>
          <w:szCs w:val="21"/>
        </w:rPr>
        <w:t xml:space="preserve">Quietness</w:t>
      </w:r>
    </w:p>
    <w:p>
      <w:pPr>
        <w:spacing w:after="110" w:line="276"/>
      </w:pPr>
      <w:r>
        <w:rPr>
          <w:rFonts w:ascii="Calibri" w:cs="Calibri" w:eastAsia="Calibri" w:hAnsi="Calibri"/>
          <w:color w:val="262626"/>
          <w:sz w:val="21"/>
          <w:szCs w:val="21"/>
        </w:rPr>
        <w:t xml:space="preserve">Pearson correlations were calculated between each service dimension and the percentage of patients who would definitely recommend the hospital. All six correlation analyses included </w:t>
      </w:r>
      <w:r>
        <w:rPr>
          <w:rFonts w:ascii="Calibri" w:cs="Calibri" w:eastAsia="Calibri" w:hAnsi="Calibri"/>
          <w:b/>
          <w:bCs/>
          <w:color w:val="262626"/>
          <w:sz w:val="21"/>
          <w:szCs w:val="21"/>
        </w:rPr>
        <w:t xml:space="preserve">3,956 hospitals with valid observations</w:t>
      </w:r>
      <w:r>
        <w:rPr>
          <w:rFonts w:ascii="Calibri" w:cs="Calibri" w:eastAsia="Calibri" w:hAnsi="Calibri"/>
          <w:color w:val="262626"/>
          <w:sz w:val="21"/>
          <w:szCs w:val="21"/>
        </w:rPr>
        <w:t xml:space="preserve">.</w:t>
      </w:r>
    </w:p>
    <w:p>
      <w:pPr>
        <w:spacing w:after="110" w:line="276"/>
      </w:pPr>
      <w:r>
        <w:rPr>
          <w:rFonts w:ascii="Calibri" w:cs="Calibri" w:eastAsia="Calibri" w:hAnsi="Calibri"/>
          <w:color w:val="262626"/>
          <w:sz w:val="21"/>
          <w:szCs w:val="21"/>
        </w:rPr>
        <w:t xml:space="preserve">A hospital-level scatter plot and linear trend model were also used to examine the relationship between nurse communication and patient recommendation in greater detail.</w:t>
      </w:r>
    </w:p>
    <w:p>
      <w:pPr>
        <w:pStyle w:val="Heading3"/>
        <w:keepNext/>
        <w:spacing w:after="60" w:before="180"/>
      </w:pPr>
      <w:r>
        <w:rPr>
          <w:rFonts w:ascii="Calibri" w:cs="Calibri" w:eastAsia="Calibri" w:hAnsi="Calibri"/>
          <w:b/>
          <w:bCs/>
          <w:color w:val="1F4E79"/>
          <w:spacing w:val="30"/>
          <w:sz w:val="18"/>
          <w:szCs w:val="18"/>
        </w:rPr>
        <w:t xml:space="preserve">KEY FINDINGS</w:t>
      </w:r>
    </w:p>
    <w:p>
      <w:pPr>
        <w:spacing w:after="110" w:line="276"/>
      </w:pPr>
      <w:r>
        <w:rPr>
          <w:rFonts w:ascii="Calibri" w:cs="Calibri" w:eastAsia="Calibri" w:hAnsi="Calibri"/>
          <w:color w:val="262626"/>
          <w:sz w:val="21"/>
          <w:szCs w:val="21"/>
        </w:rPr>
        <w:t xml:space="preserve">Patient recommendation rates varied substantially across hospitals, with the highest-performing hospitals reporting recommendation rates approaching 100%. However, hospitals with similarly high recommendation percentages may differ in the number of completed surveys, so recommendation rates should be interpreted alongside survey sample size.</w:t>
      </w:r>
    </w:p>
    <w:p>
      <w:pPr>
        <w:spacing w:after="110" w:line="276"/>
      </w:pPr>
      <w:r>
        <w:rPr>
          <w:rFonts w:ascii="Calibri" w:cs="Calibri" w:eastAsia="Calibri" w:hAnsi="Calibri"/>
          <w:color w:val="262626"/>
          <w:sz w:val="21"/>
          <w:szCs w:val="21"/>
        </w:rPr>
        <w:t xml:space="preserve">Among the six service dimensions examined, </w:t>
      </w:r>
      <w:r>
        <w:rPr>
          <w:rFonts w:ascii="Calibri" w:cs="Calibri" w:eastAsia="Calibri" w:hAnsi="Calibri"/>
          <w:b/>
          <w:bCs/>
          <w:color w:val="262626"/>
          <w:sz w:val="21"/>
          <w:szCs w:val="21"/>
        </w:rPr>
        <w:t xml:space="preserve">nurse communication had the strongest positive association with patient recommendation (r = 0.717)</w:t>
      </w:r>
      <w:r>
        <w:rPr>
          <w:rFonts w:ascii="Calibri" w:cs="Calibri" w:eastAsia="Calibri" w:hAnsi="Calibri"/>
          <w:color w:val="262626"/>
          <w:sz w:val="21"/>
          <w:szCs w:val="21"/>
        </w:rPr>
        <w:t xml:space="preserve">. Doctor communication was the second strongest (r = 0.670), followed by medication communication (r = 0.619) and discharge information (r = 0.600).</w:t>
      </w:r>
    </w:p>
    <w:p>
      <w:pPr>
        <w:keepNext/>
        <w:spacing w:after="40" w:before="100"/>
        <w:jc w:val="center"/>
      </w:pPr>
      <w:r>
        <w:drawing>
          <wp:inline distT="0" distB="0" distL="0" distR="0">
            <wp:extent cx="4953000" cy="2209800"/>
            <wp:effectExtent t="0" r="0" b="0" l="0"/>
            <wp:docPr id="1" name="corr" descr="Pearson correlations between six HCAHPS service dimensions and patient recommendation" title="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09800"/>
                    </a:xfrm>
                    <a:prstGeom prst="rect">
                      <a:avLst/>
                    </a:prstGeom>
                  </pic:spPr>
                </pic:pic>
              </a:graphicData>
            </a:graphic>
          </wp:inline>
        </w:drawing>
      </w:r>
    </w:p>
    <w:p>
      <w:pPr>
        <w:spacing w:after="140"/>
        <w:jc w:val="center"/>
      </w:pPr>
      <w:r>
        <w:rPr>
          <w:rFonts w:ascii="Calibri" w:cs="Calibri" w:eastAsia="Calibri" w:hAnsi="Calibri"/>
          <w:i/>
          <w:iCs/>
          <w:color w:val="595959"/>
          <w:sz w:val="17"/>
          <w:szCs w:val="17"/>
        </w:rPr>
        <w:t xml:space="preserve">Pearson correlation of each service dimension with the percentage of patients who would definitely recommend the hospital.</w:t>
      </w:r>
    </w:p>
    <w:p>
      <w:pPr>
        <w:spacing w:after="110" w:line="276"/>
      </w:pPr>
      <w:r>
        <w:rPr>
          <w:rFonts w:ascii="Calibri" w:cs="Calibri" w:eastAsia="Calibri" w:hAnsi="Calibri"/>
          <w:color w:val="262626"/>
          <w:sz w:val="21"/>
          <w:szCs w:val="21"/>
        </w:rPr>
        <w:t xml:space="preserve">Cleanliness (r = 0.559) and quietness (r = 0.554) also showed positive associations with recommendation, although their relationships were weaker than those of the communication-related measures.</w:t>
      </w:r>
    </w:p>
    <w:p>
      <w:pPr>
        <w:spacing w:after="110" w:line="276"/>
      </w:pPr>
      <w:r>
        <w:rPr>
          <w:rFonts w:ascii="Calibri" w:cs="Calibri" w:eastAsia="Calibri" w:hAnsi="Calibri"/>
          <w:color w:val="262626"/>
          <w:sz w:val="21"/>
          <w:szCs w:val="21"/>
        </w:rPr>
        <w:t xml:space="preserve">The nurse communication scatter plot further demonstrated a clear positive relationship between nurse communication scores and patient recommendation. The fitted linear model produced an </w:t>
      </w:r>
      <w:r>
        <w:rPr>
          <w:rFonts w:ascii="Calibri" w:cs="Calibri" w:eastAsia="Calibri" w:hAnsi="Calibri"/>
          <w:b/>
          <w:bCs/>
          <w:color w:val="262626"/>
          <w:sz w:val="21"/>
          <w:szCs w:val="21"/>
        </w:rPr>
        <w:t xml:space="preserve">R² of approximately 0.51</w:t>
      </w:r>
      <w:r>
        <w:rPr>
          <w:rFonts w:ascii="Calibri" w:cs="Calibri" w:eastAsia="Calibri" w:hAnsi="Calibri"/>
          <w:color w:val="262626"/>
          <w:sz w:val="21"/>
          <w:szCs w:val="21"/>
        </w:rPr>
        <w:t xml:space="preserve">, indicating that nurse communication alone was associated with a substantial portion of the observed variation in patient recommendation within the modeled hospital sample.</w:t>
      </w:r>
    </w:p>
    <w:p>
      <w:pPr>
        <w:pStyle w:val="Heading3"/>
        <w:keepNext/>
        <w:spacing w:after="60" w:before="180"/>
      </w:pPr>
      <w:r>
        <w:rPr>
          <w:rFonts w:ascii="Calibri" w:cs="Calibri" w:eastAsia="Calibri" w:hAnsi="Calibri"/>
          <w:b/>
          <w:bCs/>
          <w:color w:val="1F4E79"/>
          <w:spacing w:val="30"/>
          <w:sz w:val="18"/>
          <w:szCs w:val="18"/>
        </w:rPr>
        <w:t xml:space="preserve">INTERPRETATION</w:t>
      </w:r>
    </w:p>
    <w:p>
      <w:pPr>
        <w:spacing w:after="110" w:line="276"/>
      </w:pPr>
      <w:r>
        <w:rPr>
          <w:rFonts w:ascii="Calibri" w:cs="Calibri" w:eastAsia="Calibri" w:hAnsi="Calibri"/>
          <w:color w:val="262626"/>
          <w:sz w:val="21"/>
          <w:szCs w:val="21"/>
        </w:rPr>
        <w:t xml:space="preserve">The results suggest that </w:t>
      </w:r>
      <w:r>
        <w:rPr>
          <w:rFonts w:ascii="Calibri" w:cs="Calibri" w:eastAsia="Calibri" w:hAnsi="Calibri"/>
          <w:b/>
          <w:bCs/>
          <w:color w:val="262626"/>
          <w:sz w:val="21"/>
          <w:szCs w:val="21"/>
        </w:rPr>
        <w:t xml:space="preserve">communication-related aspects of patient experience are more strongly associated with hospital recommendation than the physical-environment measures examined</w:t>
      </w:r>
      <w:r>
        <w:rPr>
          <w:rFonts w:ascii="Calibri" w:cs="Calibri" w:eastAsia="Calibri" w:hAnsi="Calibri"/>
          <w:color w:val="262626"/>
          <w:sz w:val="21"/>
          <w:szCs w:val="21"/>
        </w:rPr>
        <w:t xml:space="preserve">. In particular, nurse communication showed the strongest relationship with patients’ willingness to recommend a hospital, followed by doctor communication.</w:t>
      </w:r>
    </w:p>
    <w:p>
      <w:pPr>
        <w:spacing w:after="110" w:line="276"/>
      </w:pPr>
      <w:r>
        <w:rPr>
          <w:rFonts w:ascii="Calibri" w:cs="Calibri" w:eastAsia="Calibri" w:hAnsi="Calibri"/>
          <w:color w:val="262626"/>
          <w:sz w:val="21"/>
          <w:szCs w:val="21"/>
        </w:rPr>
        <w:t xml:space="preserve">This pattern suggests that patients’ interactions with clinical staff may be especially important when evaluating their overall hospital experience. Medication communication and discharge information were also meaningfully associated with recommendation, reinforcing the broader importance of clear communication throughout a patient’s hospital stay.</w:t>
      </w:r>
    </w:p>
    <w:p>
      <w:pPr>
        <w:spacing w:after="110" w:line="276"/>
      </w:pPr>
      <w:r>
        <w:rPr>
          <w:rFonts w:ascii="Calibri" w:cs="Calibri" w:eastAsia="Calibri" w:hAnsi="Calibri"/>
          <w:color w:val="262626"/>
          <w:sz w:val="21"/>
          <w:szCs w:val="21"/>
        </w:rPr>
        <w:t xml:space="preserve">Cleanliness and quietness remained positively associated with recommendation, but their comparatively lower correlations suggest that these environmental factors alone are less closely related to recommendation than communication measures.</w:t>
      </w:r>
    </w:p>
    <w:p>
      <w:pPr>
        <w:pStyle w:val="Heading3"/>
        <w:keepNext/>
        <w:spacing w:after="60" w:before="180"/>
      </w:pPr>
      <w:r>
        <w:rPr>
          <w:rFonts w:ascii="Calibri" w:cs="Calibri" w:eastAsia="Calibri" w:hAnsi="Calibri"/>
          <w:b/>
          <w:bCs/>
          <w:color w:val="1F4E79"/>
          <w:spacing w:val="30"/>
          <w:sz w:val="18"/>
          <w:szCs w:val="18"/>
        </w:rPr>
        <w:t xml:space="preserve">LIMITATIONS</w:t>
      </w:r>
    </w:p>
    <w:p>
      <w:pPr>
        <w:spacing w:after="110" w:line="276"/>
      </w:pPr>
      <w:r>
        <w:rPr>
          <w:rFonts w:ascii="Calibri" w:cs="Calibri" w:eastAsia="Calibri" w:hAnsi="Calibri"/>
          <w:color w:val="262626"/>
          <w:sz w:val="21"/>
          <w:szCs w:val="21"/>
        </w:rPr>
        <w:t xml:space="preserve">These results are </w:t>
      </w:r>
      <w:r>
        <w:rPr>
          <w:rFonts w:ascii="Calibri" w:cs="Calibri" w:eastAsia="Calibri" w:hAnsi="Calibri"/>
          <w:b/>
          <w:bCs/>
          <w:color w:val="262626"/>
          <w:sz w:val="21"/>
          <w:szCs w:val="21"/>
        </w:rPr>
        <w:t xml:space="preserve">observational and correlational</w:t>
      </w:r>
      <w:r>
        <w:rPr>
          <w:rFonts w:ascii="Calibri" w:cs="Calibri" w:eastAsia="Calibri" w:hAnsi="Calibri"/>
          <w:color w:val="262626"/>
          <w:sz w:val="21"/>
          <w:szCs w:val="21"/>
        </w:rPr>
        <w:t xml:space="preserve">. A higher correlation does not demonstrate that improving a particular service dimension will directly cause an equivalent increase in patient recommendation.</w:t>
      </w:r>
    </w:p>
    <w:p>
      <w:pPr>
        <w:spacing w:after="110" w:line="276"/>
      </w:pPr>
      <w:r>
        <w:rPr>
          <w:rFonts w:ascii="Calibri" w:cs="Calibri" w:eastAsia="Calibri" w:hAnsi="Calibri"/>
          <w:color w:val="262626"/>
          <w:sz w:val="21"/>
          <w:szCs w:val="21"/>
        </w:rPr>
        <w:t xml:space="preserve">Recommendation percentages may also vary in reliability across hospitals because the number of completed surveys differs by facility. In addition, the six service dimensions may be correlated with one another, so the individual Pearson correlations do not isolate the independent effect of each dimension.</w:t>
      </w:r>
    </w:p>
    <w:p>
      <w:pPr>
        <w:spacing w:after="110" w:line="276"/>
      </w:pPr>
      <w:r>
        <w:rPr>
          <w:rFonts w:ascii="Calibri" w:cs="Calibri" w:eastAsia="Calibri" w:hAnsi="Calibri"/>
          <w:color w:val="262626"/>
          <w:sz w:val="21"/>
          <w:szCs w:val="21"/>
        </w:rPr>
        <w:t xml:space="preserve">Therefore, the analysis should be interpreted as identifying </w:t>
      </w:r>
      <w:r>
        <w:rPr>
          <w:rFonts w:ascii="Calibri" w:cs="Calibri" w:eastAsia="Calibri" w:hAnsi="Calibri"/>
          <w:b/>
          <w:bCs/>
          <w:color w:val="262626"/>
          <w:sz w:val="21"/>
          <w:szCs w:val="21"/>
        </w:rPr>
        <w:t xml:space="preserve">service dimensions most strongly associated with patient recommendation</w:t>
      </w:r>
      <w:r>
        <w:rPr>
          <w:rFonts w:ascii="Calibri" w:cs="Calibri" w:eastAsia="Calibri" w:hAnsi="Calibri"/>
          <w:color w:val="262626"/>
          <w:sz w:val="21"/>
          <w:szCs w:val="21"/>
        </w:rPr>
        <w:t xml:space="preserve">, rather than establishing causal drivers.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keepNext/>
              <w:spacing w:after="60"/>
            </w:pPr>
            <w:r>
              <w:rPr>
                <w:rFonts w:ascii="Calibri" w:cs="Calibri" w:eastAsia="Calibri" w:hAnsi="Calibri"/>
                <w:b/>
                <w:bCs/>
                <w:color w:val="1F4E79"/>
                <w:spacing w:val="30"/>
                <w:sz w:val="18"/>
                <w:szCs w:val="18"/>
              </w:rPr>
              <w:t xml:space="preserve">BUSINESS TAKEAWAY</w:t>
            </w:r>
          </w:p>
          <w:p>
            <w:pPr>
              <w:spacing w:after="90" w:line="272"/>
            </w:pPr>
            <w:r>
              <w:rPr>
                <w:rFonts w:ascii="Calibri" w:cs="Calibri" w:eastAsia="Calibri" w:hAnsi="Calibri"/>
                <w:color w:val="262626"/>
                <w:sz w:val="21"/>
                <w:szCs w:val="21"/>
              </w:rPr>
              <w:t xml:space="preserve">Patient recommendation is most strongly associated with </w:t>
            </w:r>
            <w:r>
              <w:rPr>
                <w:rFonts w:ascii="Calibri" w:cs="Calibri" w:eastAsia="Calibri" w:hAnsi="Calibri"/>
                <w:b/>
                <w:bCs/>
                <w:color w:val="262626"/>
                <w:sz w:val="21"/>
                <w:szCs w:val="21"/>
              </w:rPr>
              <w:t xml:space="preserve">nurse and doctor communication</w:t>
            </w:r>
            <w:r>
              <w:rPr>
                <w:rFonts w:ascii="Calibri" w:cs="Calibri" w:eastAsia="Calibri" w:hAnsi="Calibri"/>
                <w:color w:val="262626"/>
                <w:sz w:val="21"/>
                <w:szCs w:val="21"/>
              </w:rPr>
              <w:t xml:space="preserve">, while medication communication and discharge information also show substantial positive relationships. The results indicate that communication quality is an important area to examine when seeking to understand differences in patient-reported hospital experience.</w:t>
            </w:r>
          </w:p>
          <w:p>
            <w:pPr>
              <w:spacing w:after="0" w:line="272"/>
            </w:pPr>
            <w:r>
              <w:rPr>
                <w:rFonts w:ascii="Calibri" w:cs="Calibri" w:eastAsia="Calibri" w:hAnsi="Calibri"/>
                <w:color w:val="262626"/>
                <w:sz w:val="21"/>
                <w:szCs w:val="21"/>
              </w:rPr>
              <w:t xml:space="preserve">For healthcare organizations, these findings can help identify areas for further investigation and improvement, while hospital-level recommendation rates should be considered together with survey volume and other patient-experience measures.</w:t>
            </w:r>
          </w:p>
        </w:tc>
      </w:tr>
    </w:tbl>
    <w:p>
      <w:pPr>
        <w:spacing w:after="60"/>
      </w:pPr>
    </w:p>
    <w:p>
      <w:pPr>
        <w:pStyle w:val="Heading2"/>
        <w:keepNext/>
        <w:spacing w:after="80" w:before="300"/>
      </w:pPr>
      <w:r>
        <w:rPr>
          <w:rFonts w:ascii="Calibri" w:cs="Calibri" w:eastAsia="Calibri" w:hAnsi="Calibri"/>
          <w:b/>
          <w:bCs/>
          <w:color w:val="2E75B6"/>
          <w:sz w:val="25"/>
          <w:szCs w:val="25"/>
        </w:rPr>
        <w:t xml:space="preserve">4.4 Cost Efficiency</w:t>
      </w:r>
    </w:p>
    <w:p>
      <w:pPr>
        <w:pBdr>
          <w:left w:val="single" w:color="2E75B6" w:sz="18" w:space="8"/>
        </w:pBdr>
        <w:spacing w:after="120" w:line="276"/>
        <w:ind w:left="200"/>
      </w:pPr>
      <w:r>
        <w:rPr>
          <w:rFonts w:ascii="Calibri" w:cs="Calibri" w:eastAsia="Calibri" w:hAnsi="Calibri"/>
          <w:i/>
          <w:iCs/>
          <w:color w:val="595959"/>
          <w:sz w:val="22"/>
          <w:szCs w:val="22"/>
        </w:rPr>
        <w:t xml:space="preserve">Which hospitals deliver strong quality while keeping Medicare spending below the national benchmark?</w:t>
      </w:r>
    </w:p>
    <w:p>
      <w:pPr>
        <w:pStyle w:val="Heading3"/>
        <w:keepNext/>
        <w:spacing w:after="60" w:before="180"/>
      </w:pPr>
      <w:r>
        <w:rPr>
          <w:rFonts w:ascii="Calibri" w:cs="Calibri" w:eastAsia="Calibri" w:hAnsi="Calibri"/>
          <w:b/>
          <w:bCs/>
          <w:color w:val="1F4E79"/>
          <w:spacing w:val="30"/>
          <w:sz w:val="18"/>
          <w:szCs w:val="18"/>
        </w:rPr>
        <w:t xml:space="preserve">METHODOLOGY</w:t>
      </w:r>
    </w:p>
    <w:p>
      <w:pPr>
        <w:spacing w:after="110" w:line="276"/>
      </w:pPr>
      <w:r>
        <w:rPr>
          <w:rFonts w:ascii="Calibri" w:cs="Calibri" w:eastAsia="Calibri" w:hAnsi="Calibri"/>
          <w:color w:val="262626"/>
          <w:sz w:val="21"/>
          <w:szCs w:val="21"/>
        </w:rPr>
        <w:t xml:space="preserve">Hospital quality was evaluated using the </w:t>
      </w:r>
      <w:r>
        <w:rPr>
          <w:rFonts w:ascii="Calibri" w:cs="Calibri" w:eastAsia="Calibri" w:hAnsi="Calibri"/>
          <w:b/>
          <w:bCs/>
          <w:color w:val="262626"/>
          <w:sz w:val="21"/>
          <w:szCs w:val="21"/>
        </w:rPr>
        <w:t xml:space="preserve">CMS Hospital Overall Rating</w:t>
      </w:r>
      <w:r>
        <w:rPr>
          <w:rFonts w:ascii="Calibri" w:cs="Calibri" w:eastAsia="Calibri" w:hAnsi="Calibri"/>
          <w:color w:val="262626"/>
          <w:sz w:val="21"/>
          <w:szCs w:val="21"/>
        </w:rPr>
        <w:t xml:space="preserve">, with hospitals receiving </w:t>
      </w:r>
      <w:r>
        <w:rPr>
          <w:rFonts w:ascii="Calibri" w:cs="Calibri" w:eastAsia="Calibri" w:hAnsi="Calibri"/>
          <w:b/>
          <w:bCs/>
          <w:color w:val="262626"/>
          <w:sz w:val="21"/>
          <w:szCs w:val="21"/>
        </w:rPr>
        <w:t xml:space="preserve">4 or 5 stars</w:t>
      </w:r>
      <w:r>
        <w:rPr>
          <w:rFonts w:ascii="Calibri" w:cs="Calibri" w:eastAsia="Calibri" w:hAnsi="Calibri"/>
          <w:color w:val="262626"/>
          <w:sz w:val="21"/>
          <w:szCs w:val="21"/>
        </w:rPr>
        <w:t xml:space="preserve"> classified as high quality. Medicare spending was evaluated using the </w:t>
      </w:r>
      <w:r>
        <w:rPr>
          <w:rFonts w:ascii="Calibri" w:cs="Calibri" w:eastAsia="Calibri" w:hAnsi="Calibri"/>
          <w:b/>
          <w:bCs/>
          <w:color w:val="262626"/>
          <w:sz w:val="21"/>
          <w:szCs w:val="21"/>
        </w:rPr>
        <w:t xml:space="preserve">Medicare Spending per Beneficiary (MSPB) Score</w:t>
      </w:r>
      <w:r>
        <w:rPr>
          <w:rFonts w:ascii="Calibri" w:cs="Calibri" w:eastAsia="Calibri" w:hAnsi="Calibri"/>
          <w:color w:val="262626"/>
          <w:sz w:val="21"/>
          <w:szCs w:val="21"/>
        </w:rPr>
        <w:t xml:space="preserve">, where a score below </w:t>
      </w:r>
      <w:r>
        <w:rPr>
          <w:rFonts w:ascii="Calibri" w:cs="Calibri" w:eastAsia="Calibri" w:hAnsi="Calibri"/>
          <w:b/>
          <w:bCs/>
          <w:color w:val="262626"/>
          <w:sz w:val="21"/>
          <w:szCs w:val="21"/>
        </w:rPr>
        <w:t xml:space="preserve">1.0</w:t>
      </w:r>
      <w:r>
        <w:rPr>
          <w:rFonts w:ascii="Calibri" w:cs="Calibri" w:eastAsia="Calibri" w:hAnsi="Calibri"/>
          <w:color w:val="262626"/>
          <w:sz w:val="21"/>
          <w:szCs w:val="21"/>
        </w:rPr>
        <w:t xml:space="preserve"> indicates spending below the national benchmark.</w:t>
      </w:r>
    </w:p>
    <w:p>
      <w:pPr>
        <w:spacing w:after="110" w:line="276"/>
      </w:pPr>
      <w:r>
        <w:rPr>
          <w:rFonts w:ascii="Calibri" w:cs="Calibri" w:eastAsia="Calibri" w:hAnsi="Calibri"/>
          <w:color w:val="262626"/>
          <w:sz w:val="21"/>
          <w:szCs w:val="21"/>
        </w:rPr>
        <w:t xml:space="preserve">Hospitals were therefore classified as meeting both quality and spending criteria when: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spacing w:after="0"/>
              <w:jc w:val="center"/>
            </w:pPr>
            <w:r>
              <w:rPr>
                <w:rFonts w:ascii="Cambria Math" w:cs="Cambria Math" w:eastAsia="Cambria Math" w:hAnsi="Cambria Math"/>
                <w:color w:val="262626"/>
                <w:sz w:val="21"/>
                <w:szCs w:val="21"/>
              </w:rPr>
              <w:t xml:space="preserve">Hospital Overall Rating ≥ 4   and   MSPB Score &lt; 1.0</w:t>
            </w:r>
          </w:p>
        </w:tc>
      </w:tr>
    </w:tbl>
    <w:p>
      <w:pPr>
        <w:spacing w:after="100"/>
      </w:pPr>
    </w:p>
    <w:p>
      <w:pPr>
        <w:spacing w:after="110" w:line="276"/>
      </w:pPr>
      <w:r>
        <w:rPr>
          <w:rFonts w:ascii="Calibri" w:cs="Calibri" w:eastAsia="Calibri" w:hAnsi="Calibri"/>
          <w:color w:val="262626"/>
          <w:sz w:val="21"/>
          <w:szCs w:val="21"/>
        </w:rPr>
        <w:t xml:space="preserve">Hospitals missing either an overall quality rating or an MSPB score were excluded from the corresponding quality-spending comparison rather than being treated as low-performing hospitals.</w:t>
      </w:r>
    </w:p>
    <w:p>
      <w:pPr>
        <w:spacing w:after="110" w:line="276"/>
      </w:pPr>
      <w:r>
        <w:rPr>
          <w:rFonts w:ascii="Calibri" w:cs="Calibri" w:eastAsia="Calibri" w:hAnsi="Calibri"/>
          <w:color w:val="262626"/>
          <w:sz w:val="21"/>
          <w:szCs w:val="21"/>
        </w:rPr>
        <w:t xml:space="preserve">The analysis examined individual hospital performance and compared the proportion of qualifying hospitals across states.</w:t>
      </w:r>
    </w:p>
    <w:p>
      <w:pPr>
        <w:pStyle w:val="Heading3"/>
        <w:keepNext/>
        <w:spacing w:after="60" w:before="180"/>
      </w:pPr>
      <w:r>
        <w:rPr>
          <w:rFonts w:ascii="Calibri" w:cs="Calibri" w:eastAsia="Calibri" w:hAnsi="Calibri"/>
          <w:b/>
          <w:bCs/>
          <w:color w:val="1F4E79"/>
          <w:spacing w:val="30"/>
          <w:sz w:val="18"/>
          <w:szCs w:val="18"/>
        </w:rPr>
        <w:t xml:space="preserve">KEY FINDINGS</w:t>
      </w:r>
    </w:p>
    <w:p>
      <w:pPr>
        <w:spacing w:after="110" w:line="276"/>
      </w:pPr>
      <w:r>
        <w:rPr>
          <w:rFonts w:ascii="Calibri" w:cs="Calibri" w:eastAsia="Calibri" w:hAnsi="Calibri"/>
          <w:color w:val="262626"/>
          <w:sz w:val="21"/>
          <w:szCs w:val="21"/>
        </w:rPr>
        <w:t xml:space="preserve">The analysis identified </w:t>
      </w:r>
      <w:r>
        <w:rPr>
          <w:rFonts w:ascii="Calibri" w:cs="Calibri" w:eastAsia="Calibri" w:hAnsi="Calibri"/>
          <w:b/>
          <w:bCs/>
          <w:color w:val="262626"/>
          <w:sz w:val="21"/>
          <w:szCs w:val="21"/>
        </w:rPr>
        <w:t xml:space="preserve">637 hospitals</w:t>
      </w:r>
      <w:r>
        <w:rPr>
          <w:rFonts w:ascii="Calibri" w:cs="Calibri" w:eastAsia="Calibri" w:hAnsi="Calibri"/>
          <w:color w:val="262626"/>
          <w:sz w:val="21"/>
          <w:szCs w:val="21"/>
        </w:rPr>
        <w:t xml:space="preserve"> that combined a CMS overall rating of 4 or 5 stars with an MSPB score below the national benchmark. These hospitals demonstrate that relatively strong reported quality and below-benchmark Medicare spending can occur simultaneously.</w:t>
      </w:r>
    </w:p>
    <w:p>
      <w:pPr>
        <w:spacing w:after="110" w:line="276"/>
      </w:pPr>
      <w:r>
        <w:rPr>
          <w:rFonts w:ascii="Calibri" w:cs="Calibri" w:eastAsia="Calibri" w:hAnsi="Calibri"/>
          <w:color w:val="262626"/>
          <w:sz w:val="21"/>
          <w:szCs w:val="21"/>
        </w:rPr>
        <w:t xml:space="preserve">The hospital-level scatter plot also shows substantial variation in MSPB scores among hospitals with the same quality rating. Some 4- and 5-star hospitals remained below the 1.0 spending benchmark, while others had MSPB scores above it. Similarly, below-benchmark spending was not limited to highly rated hospitals, indicating that lower spending alone does not necessarily correspond to stronger overall quality.</w:t>
      </w:r>
    </w:p>
    <w:p>
      <w:pPr>
        <w:spacing w:after="110" w:line="276"/>
      </w:pPr>
      <w:r>
        <w:rPr>
          <w:rFonts w:ascii="Calibri" w:cs="Calibri" w:eastAsia="Calibri" w:hAnsi="Calibri"/>
          <w:color w:val="262626"/>
          <w:sz w:val="21"/>
          <w:szCs w:val="21"/>
        </w:rPr>
        <w:t xml:space="preserve">At the state level, the proportion of eligible hospitals meeting both criteria varied considerably. Among the states displayed in the Top 10 comparison, </w:t>
      </w:r>
      <w:r>
        <w:rPr>
          <w:rFonts w:ascii="Calibri" w:cs="Calibri" w:eastAsia="Calibri" w:hAnsi="Calibri"/>
          <w:b/>
          <w:bCs/>
          <w:color w:val="262626"/>
          <w:sz w:val="21"/>
          <w:szCs w:val="21"/>
        </w:rPr>
        <w:t xml:space="preserve">Minnesota had the highest observed proportion at roughly two-thirds</w:t>
      </w:r>
      <w:r>
        <w:rPr>
          <w:rFonts w:ascii="Calibri" w:cs="Calibri" w:eastAsia="Calibri" w:hAnsi="Calibri"/>
          <w:color w:val="262626"/>
          <w:sz w:val="21"/>
          <w:szCs w:val="21"/>
        </w:rPr>
        <w:t xml:space="preserve">, followed closely by </w:t>
      </w:r>
      <w:r>
        <w:rPr>
          <w:rFonts w:ascii="Calibri" w:cs="Calibri" w:eastAsia="Calibri" w:hAnsi="Calibri"/>
          <w:b/>
          <w:bCs/>
          <w:color w:val="262626"/>
          <w:sz w:val="21"/>
          <w:szCs w:val="21"/>
        </w:rPr>
        <w:t xml:space="preserve">Wisconsin</w:t>
      </w:r>
      <w:r>
        <w:rPr>
          <w:rFonts w:ascii="Calibri" w:cs="Calibri" w:eastAsia="Calibri" w:hAnsi="Calibri"/>
          <w:color w:val="262626"/>
          <w:sz w:val="21"/>
          <w:szCs w:val="21"/>
        </w:rPr>
        <w:t xml:space="preserve">. Utah and Oregon also had comparatively high shares. These state-level rates describe the proportion of hospitals with valid quality and spending data that met both criteria, rather than the absolute number of qualifying hospitals.</w:t>
      </w:r>
    </w:p>
    <w:p>
      <w:pPr>
        <w:pStyle w:val="Heading3"/>
        <w:keepNext/>
        <w:spacing w:after="60" w:before="180"/>
      </w:pPr>
      <w:r>
        <w:rPr>
          <w:rFonts w:ascii="Calibri" w:cs="Calibri" w:eastAsia="Calibri" w:hAnsi="Calibri"/>
          <w:b/>
          <w:bCs/>
          <w:color w:val="1F4E79"/>
          <w:spacing w:val="30"/>
          <w:sz w:val="18"/>
          <w:szCs w:val="18"/>
        </w:rPr>
        <w:t xml:space="preserve">INTERPRETATION</w:t>
      </w:r>
    </w:p>
    <w:p>
      <w:pPr>
        <w:spacing w:after="110" w:line="276"/>
      </w:pPr>
      <w:r>
        <w:rPr>
          <w:rFonts w:ascii="Calibri" w:cs="Calibri" w:eastAsia="Calibri" w:hAnsi="Calibri"/>
          <w:color w:val="262626"/>
          <w:sz w:val="21"/>
          <w:szCs w:val="21"/>
        </w:rPr>
        <w:t xml:space="preserve">The results show why hospital quality and Medicare spending should be evaluated together rather than independently. An MSPB score below 1.0 indicates spending below the national benchmark, but does not by itself indicate strong quality. Conversely, a high CMS rating does not necessarily imply below-benchmark Medicare spending.</w:t>
      </w:r>
    </w:p>
    <w:p>
      <w:pPr>
        <w:spacing w:after="110" w:line="276"/>
      </w:pPr>
      <w:r>
        <w:rPr>
          <w:rFonts w:ascii="Calibri" w:cs="Calibri" w:eastAsia="Calibri" w:hAnsi="Calibri"/>
          <w:color w:val="262626"/>
          <w:sz w:val="21"/>
          <w:szCs w:val="21"/>
        </w:rPr>
        <w:t xml:space="preserve">The </w:t>
      </w:r>
      <w:r>
        <w:rPr>
          <w:rFonts w:ascii="Calibri" w:cs="Calibri" w:eastAsia="Calibri" w:hAnsi="Calibri"/>
          <w:b/>
          <w:bCs/>
          <w:color w:val="262626"/>
          <w:sz w:val="21"/>
          <w:szCs w:val="21"/>
        </w:rPr>
        <w:t xml:space="preserve">637 hospitals satisfying both criteria</w:t>
      </w:r>
      <w:r>
        <w:rPr>
          <w:rFonts w:ascii="Calibri" w:cs="Calibri" w:eastAsia="Calibri" w:hAnsi="Calibri"/>
          <w:color w:val="262626"/>
          <w:sz w:val="21"/>
          <w:szCs w:val="21"/>
        </w:rPr>
        <w:t xml:space="preserve"> represent a particularly relevant group for further benchmarking because they combine relatively strong CMS quality performance with Medicare spending below the national benchmark.</w:t>
      </w:r>
    </w:p>
    <w:p>
      <w:pPr>
        <w:spacing w:after="110" w:line="276"/>
      </w:pPr>
      <w:r>
        <w:rPr>
          <w:rFonts w:ascii="Calibri" w:cs="Calibri" w:eastAsia="Calibri" w:hAnsi="Calibri"/>
          <w:color w:val="262626"/>
          <w:sz w:val="21"/>
          <w:szCs w:val="21"/>
        </w:rPr>
        <w:t xml:space="preserve">The geographic differences also suggest that the prevalence of hospitals meeting both criteria is not uniform across states. However, these state-level differences should be interpreted alongside the number of eligible hospitals in each state, since percentages based on smaller hospital populations may be less stable.</w:t>
      </w:r>
    </w:p>
    <w:p>
      <w:pPr>
        <w:pStyle w:val="Heading3"/>
        <w:keepNext/>
        <w:spacing w:after="60" w:before="180"/>
      </w:pPr>
      <w:r>
        <w:rPr>
          <w:rFonts w:ascii="Calibri" w:cs="Calibri" w:eastAsia="Calibri" w:hAnsi="Calibri"/>
          <w:b/>
          <w:bCs/>
          <w:color w:val="1F4E79"/>
          <w:spacing w:val="30"/>
          <w:sz w:val="18"/>
          <w:szCs w:val="18"/>
        </w:rPr>
        <w:t xml:space="preserve">LIMITATIONS</w:t>
      </w:r>
    </w:p>
    <w:p>
      <w:pPr>
        <w:spacing w:after="110" w:line="276"/>
      </w:pPr>
      <w:r>
        <w:rPr>
          <w:rFonts w:ascii="Calibri" w:cs="Calibri" w:eastAsia="Calibri" w:hAnsi="Calibri"/>
          <w:color w:val="262626"/>
          <w:sz w:val="21"/>
          <w:szCs w:val="21"/>
        </w:rPr>
        <w:t xml:space="preserve">This analysis provides a descriptive comparison rather than a complete measure of hospital efficiency. The CMS Overall Rating is a composite quality measure, while MSPB captures Medicare spending around an episode of care; together, they do not capture every dimension of hospital performance, patient complexity, or cost.</w:t>
      </w:r>
    </w:p>
    <w:p>
      <w:pPr>
        <w:spacing w:after="110" w:line="276"/>
      </w:pPr>
      <w:r>
        <w:rPr>
          <w:rFonts w:ascii="Calibri" w:cs="Calibri" w:eastAsia="Calibri" w:hAnsi="Calibri"/>
          <w:color w:val="262626"/>
          <w:sz w:val="21"/>
          <w:szCs w:val="21"/>
        </w:rPr>
        <w:t xml:space="preserve">MSPB data also contain substantial missingness, meaning the analysis applies only to hospitals with sufficient quality and spending information. State-level percentages may additionally be affected by differences in the number and characteristics of hospitals with available data.</w:t>
      </w:r>
    </w:p>
    <w:p>
      <w:pPr>
        <w:spacing w:after="110" w:line="276"/>
      </w:pPr>
      <w:r>
        <w:rPr>
          <w:rFonts w:ascii="Calibri" w:cs="Calibri" w:eastAsia="Calibri" w:hAnsi="Calibri"/>
          <w:color w:val="262626"/>
          <w:sz w:val="21"/>
          <w:szCs w:val="21"/>
        </w:rPr>
        <w:t xml:space="preserve">Finally, the analysis does not establish that lower spending causes better quality, or vice versa.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keepNext/>
              <w:spacing w:after="60"/>
            </w:pPr>
            <w:r>
              <w:rPr>
                <w:rFonts w:ascii="Calibri" w:cs="Calibri" w:eastAsia="Calibri" w:hAnsi="Calibri"/>
                <w:b/>
                <w:bCs/>
                <w:color w:val="1F4E79"/>
                <w:spacing w:val="30"/>
                <w:sz w:val="18"/>
                <w:szCs w:val="18"/>
              </w:rPr>
              <w:t xml:space="preserve">BUSINESS TAKEAWAY</w:t>
            </w:r>
          </w:p>
          <w:p>
            <w:pPr>
              <w:spacing w:after="90" w:line="272"/>
            </w:pPr>
            <w:r>
              <w:rPr>
                <w:rFonts w:ascii="Calibri" w:cs="Calibri" w:eastAsia="Calibri" w:hAnsi="Calibri"/>
                <w:b/>
                <w:bCs/>
                <w:color w:val="262626"/>
                <w:sz w:val="21"/>
                <w:szCs w:val="21"/>
              </w:rPr>
              <w:t xml:space="preserve">637 hospitals combined high CMS quality ratings with Medicare spending below the national benchmark</w:t>
            </w:r>
            <w:r>
              <w:rPr>
                <w:rFonts w:ascii="Calibri" w:cs="Calibri" w:eastAsia="Calibri" w:hAnsi="Calibri"/>
                <w:color w:val="262626"/>
                <w:sz w:val="21"/>
                <w:szCs w:val="21"/>
              </w:rPr>
              <w:t xml:space="preserve">, demonstrating that strong reported quality and below-benchmark spending are not mutually exclusive.</w:t>
            </w:r>
          </w:p>
          <w:p>
            <w:pPr>
              <w:spacing w:after="0" w:line="272"/>
            </w:pPr>
            <w:r>
              <w:rPr>
                <w:rFonts w:ascii="Calibri" w:cs="Calibri" w:eastAsia="Calibri" w:hAnsi="Calibri"/>
                <w:color w:val="262626"/>
                <w:sz w:val="21"/>
                <w:szCs w:val="21"/>
              </w:rPr>
              <w:t xml:space="preserve">For healthcare benchmarking, these hospitals provide a useful group for further investigation into operational practices, care delivery, and resource utilization. However, MSPB should be considered alongside quality, data availability, hospital characteristics, and other performance measures rather than being interpreted as a standalone measure of efficiency.</w:t>
            </w:r>
          </w:p>
        </w:tc>
      </w:tr>
    </w:tbl>
    <w:p>
      <w:pPr>
        <w:spacing w:after="60"/>
      </w:pPr>
    </w:p>
    <w:p>
      <w:pPr>
        <w:pStyle w:val="Heading2"/>
        <w:keepNext/>
        <w:spacing w:after="80" w:before="300"/>
      </w:pPr>
      <w:r>
        <w:rPr>
          <w:rFonts w:ascii="Calibri" w:cs="Calibri" w:eastAsia="Calibri" w:hAnsi="Calibri"/>
          <w:b/>
          <w:bCs/>
          <w:color w:val="2E75B6"/>
          <w:sz w:val="25"/>
          <w:szCs w:val="25"/>
        </w:rPr>
        <w:t xml:space="preserve">4.5 Operational Outcomes</w:t>
      </w:r>
    </w:p>
    <w:p>
      <w:pPr>
        <w:pBdr>
          <w:left w:val="single" w:color="2E75B6" w:sz="18" w:space="8"/>
        </w:pBdr>
        <w:spacing w:after="120" w:line="276"/>
        <w:ind w:left="200"/>
      </w:pPr>
      <w:r>
        <w:rPr>
          <w:rFonts w:ascii="Calibri" w:cs="Calibri" w:eastAsia="Calibri" w:hAnsi="Calibri"/>
          <w:i/>
          <w:iCs/>
          <w:color w:val="595959"/>
          <w:sz w:val="22"/>
          <w:szCs w:val="22"/>
        </w:rPr>
        <w:t xml:space="preserve">Which hospitals have higher-than-expected readmission or unplanned visit rates?</w:t>
      </w:r>
    </w:p>
    <w:p>
      <w:pPr>
        <w:pStyle w:val="Heading3"/>
        <w:keepNext/>
        <w:spacing w:after="60" w:before="180"/>
      </w:pPr>
      <w:r>
        <w:rPr>
          <w:rFonts w:ascii="Calibri" w:cs="Calibri" w:eastAsia="Calibri" w:hAnsi="Calibri"/>
          <w:b/>
          <w:bCs/>
          <w:color w:val="1F4E79"/>
          <w:spacing w:val="30"/>
          <w:sz w:val="18"/>
          <w:szCs w:val="18"/>
        </w:rPr>
        <w:t xml:space="preserve">METHODOLOGY</w:t>
      </w:r>
    </w:p>
    <w:p>
      <w:pPr>
        <w:spacing w:after="110" w:line="276"/>
      </w:pPr>
      <w:r>
        <w:rPr>
          <w:rFonts w:ascii="Calibri" w:cs="Calibri" w:eastAsia="Calibri" w:hAnsi="Calibri"/>
          <w:color w:val="262626"/>
          <w:sz w:val="21"/>
          <w:szCs w:val="21"/>
        </w:rPr>
        <w:t xml:space="preserve">Hospital readmission performance was evaluated using CMS unplanned hospital visit measures. The analysis included six readmission measures covering hospital-wide readmissions and condition-specific 30-day readmissions for acute myocardial infarction (AMI), chronic obstructive pulmonary disease (COPD), heart failure (HF), hip/knee replacement, and pneumonia.</w:t>
      </w:r>
    </w:p>
    <w:p>
      <w:pPr>
        <w:spacing w:after="110" w:line="276"/>
      </w:pPr>
      <w:r>
        <w:rPr>
          <w:rFonts w:ascii="Calibri" w:cs="Calibri" w:eastAsia="Calibri" w:hAnsi="Calibri"/>
          <w:color w:val="262626"/>
          <w:sz w:val="21"/>
          <w:szCs w:val="21"/>
        </w:rPr>
        <w:t xml:space="preserve">Rather than defining an arbitrary threshold for poor performance, the analysis used CMS’s </w:t>
      </w:r>
      <w:r>
        <w:rPr>
          <w:rFonts w:ascii="Calibri" w:cs="Calibri" w:eastAsia="Calibri" w:hAnsi="Calibri"/>
          <w:b/>
          <w:bCs/>
          <w:color w:val="262626"/>
          <w:sz w:val="21"/>
          <w:szCs w:val="21"/>
        </w:rPr>
        <w:t xml:space="preserve">“Compared to National”</w:t>
      </w:r>
      <w:r>
        <w:rPr>
          <w:rFonts w:ascii="Calibri" w:cs="Calibri" w:eastAsia="Calibri" w:hAnsi="Calibri"/>
          <w:color w:val="262626"/>
          <w:sz w:val="21"/>
          <w:szCs w:val="21"/>
        </w:rPr>
        <w:t xml:space="preserve"> classification. A hospital-measure observation was identified as higher-than-expected when CMS classified it as </w:t>
      </w:r>
      <w:r>
        <w:rPr>
          <w:rFonts w:ascii="Calibri" w:cs="Calibri" w:eastAsia="Calibri" w:hAnsi="Calibri"/>
          <w:b/>
          <w:bCs/>
          <w:color w:val="262626"/>
          <w:sz w:val="21"/>
          <w:szCs w:val="21"/>
        </w:rPr>
        <w:t xml:space="preserve">“Worse Than the National Rate.”</w:t>
      </w:r>
    </w:p>
    <w:p>
      <w:pPr>
        <w:spacing w:after="110" w:line="276"/>
      </w:pPr>
      <w:r>
        <w:rPr>
          <w:rFonts w:ascii="Calibri" w:cs="Calibri" w:eastAsia="Calibri" w:hAnsi="Calibri"/>
          <w:color w:val="262626"/>
          <w:sz w:val="21"/>
          <w:szCs w:val="21"/>
        </w:rPr>
        <w:t xml:space="preserve">For each hospital, the number of measures classified as worse than the national rate was calculated to identify hospitals with multiple areas of concern. In addition, the proportion of hospitals classified as worse than national was calculated separately for each readmission measure. Records labeled </w:t>
      </w:r>
      <w:r>
        <w:rPr>
          <w:rFonts w:ascii="Calibri" w:cs="Calibri" w:eastAsia="Calibri" w:hAnsi="Calibri"/>
          <w:b/>
          <w:bCs/>
          <w:color w:val="262626"/>
          <w:sz w:val="21"/>
          <w:szCs w:val="21"/>
        </w:rPr>
        <w:t xml:space="preserve">“Not Available”</w:t>
      </w:r>
      <w:r>
        <w:rPr>
          <w:rFonts w:ascii="Calibri" w:cs="Calibri" w:eastAsia="Calibri" w:hAnsi="Calibri"/>
          <w:color w:val="262626"/>
          <w:sz w:val="21"/>
          <w:szCs w:val="21"/>
        </w:rPr>
        <w:t xml:space="preserve"> or </w:t>
      </w:r>
      <w:r>
        <w:rPr>
          <w:rFonts w:ascii="Calibri" w:cs="Calibri" w:eastAsia="Calibri" w:hAnsi="Calibri"/>
          <w:b/>
          <w:bCs/>
          <w:color w:val="262626"/>
          <w:sz w:val="21"/>
          <w:szCs w:val="21"/>
        </w:rPr>
        <w:t xml:space="preserve">“Number of Cases Too Small”</w:t>
      </w:r>
      <w:r>
        <w:rPr>
          <w:rFonts w:ascii="Calibri" w:cs="Calibri" w:eastAsia="Calibri" w:hAnsi="Calibri"/>
          <w:color w:val="262626"/>
          <w:sz w:val="21"/>
          <w:szCs w:val="21"/>
        </w:rPr>
        <w:t xml:space="preserve"> were excluded from the denominator when calculating these proportions.</w:t>
      </w:r>
    </w:p>
    <w:p>
      <w:pPr>
        <w:pStyle w:val="Heading3"/>
        <w:keepNext/>
        <w:spacing w:after="60" w:before="180"/>
      </w:pPr>
      <w:r>
        <w:rPr>
          <w:rFonts w:ascii="Calibri" w:cs="Calibri" w:eastAsia="Calibri" w:hAnsi="Calibri"/>
          <w:b/>
          <w:bCs/>
          <w:color w:val="1F4E79"/>
          <w:spacing w:val="30"/>
          <w:sz w:val="18"/>
          <w:szCs w:val="18"/>
        </w:rPr>
        <w:t xml:space="preserve">KEY FINDINGS</w:t>
      </w:r>
    </w:p>
    <w:p>
      <w:pPr>
        <w:spacing w:after="110" w:line="276"/>
      </w:pPr>
      <w:r>
        <w:rPr>
          <w:rFonts w:ascii="Calibri" w:cs="Calibri" w:eastAsia="Calibri" w:hAnsi="Calibri"/>
          <w:color w:val="262626"/>
          <w:sz w:val="21"/>
          <w:szCs w:val="21"/>
        </w:rPr>
        <w:t xml:space="preserve">The analysis identified a relatively small subset of hospitals with multiple readmission measures classified as worse than the national rate. The highest observed count was </w:t>
      </w:r>
      <w:r>
        <w:rPr>
          <w:rFonts w:ascii="Calibri" w:cs="Calibri" w:eastAsia="Calibri" w:hAnsi="Calibri"/>
          <w:b/>
          <w:bCs/>
          <w:color w:val="262626"/>
          <w:sz w:val="21"/>
          <w:szCs w:val="21"/>
        </w:rPr>
        <w:t xml:space="preserve">four worse-than-national measures at a single hospital</w:t>
      </w:r>
      <w:r>
        <w:rPr>
          <w:rFonts w:ascii="Calibri" w:cs="Calibri" w:eastAsia="Calibri" w:hAnsi="Calibri"/>
          <w:color w:val="262626"/>
          <w:sz w:val="21"/>
          <w:szCs w:val="21"/>
        </w:rPr>
        <w:t xml:space="preserve">, with several hospitals reaching this level, including Winchester Hospital, St. Lucie Medical Center, Oroville Hospital, Milford Regional Medical Center, and AdventHealth Orlando.</w:t>
      </w:r>
    </w:p>
    <w:p>
      <w:pPr>
        <w:spacing w:after="110" w:line="276"/>
      </w:pPr>
      <w:r>
        <w:rPr>
          <w:rFonts w:ascii="Calibri" w:cs="Calibri" w:eastAsia="Calibri" w:hAnsi="Calibri"/>
          <w:color w:val="262626"/>
          <w:sz w:val="21"/>
          <w:szCs w:val="21"/>
        </w:rPr>
        <w:t xml:space="preserve">The prevalence of worse-than-national classifications also differed substantially across readmission measures. </w:t>
      </w:r>
      <w:r>
        <w:rPr>
          <w:rFonts w:ascii="Calibri" w:cs="Calibri" w:eastAsia="Calibri" w:hAnsi="Calibri"/>
          <w:b/>
          <w:bCs/>
          <w:color w:val="262626"/>
          <w:sz w:val="21"/>
          <w:szCs w:val="21"/>
        </w:rPr>
        <w:t xml:space="preserve">Hybrid Hospital-Wide Readmission (Hybrid_HWR)</w:t>
      </w:r>
      <w:r>
        <w:rPr>
          <w:rFonts w:ascii="Calibri" w:cs="Calibri" w:eastAsia="Calibri" w:hAnsi="Calibri"/>
          <w:color w:val="262626"/>
          <w:sz w:val="21"/>
          <w:szCs w:val="21"/>
        </w:rPr>
        <w:t xml:space="preserve"> had the highest observed proportion, at approximately </w:t>
      </w:r>
      <w:r>
        <w:rPr>
          <w:rFonts w:ascii="Calibri" w:cs="Calibri" w:eastAsia="Calibri" w:hAnsi="Calibri"/>
          <w:b/>
          <w:bCs/>
          <w:color w:val="262626"/>
          <w:sz w:val="21"/>
          <w:szCs w:val="21"/>
        </w:rPr>
        <w:t xml:space="preserve">4.4% of hospitals with valid comparisons</w:t>
      </w:r>
      <w:r>
        <w:rPr>
          <w:rFonts w:ascii="Calibri" w:cs="Calibri" w:eastAsia="Calibri" w:hAnsi="Calibri"/>
          <w:color w:val="262626"/>
          <w:sz w:val="21"/>
          <w:szCs w:val="21"/>
        </w:rPr>
        <w:t xml:space="preserve">. Heart failure and pneumonia followed, while the remaining condition-specific measures had lower observed proportions.</w:t>
      </w:r>
    </w:p>
    <w:p>
      <w:pPr>
        <w:spacing w:after="110" w:line="276"/>
      </w:pPr>
      <w:r>
        <w:rPr>
          <w:rFonts w:ascii="Calibri" w:cs="Calibri" w:eastAsia="Calibri" w:hAnsi="Calibri"/>
          <w:color w:val="262626"/>
          <w:sz w:val="21"/>
          <w:szCs w:val="21"/>
        </w:rPr>
        <w:t xml:space="preserve">The hospital-by-measure detail view further shows that poor readmission performance is not uniform across hospitals. Some hospitals were classified as worse than national for only one measure, while a smaller group exhibited worse-than-national performance across multiple clinical areas.</w:t>
      </w:r>
    </w:p>
    <w:p>
      <w:pPr>
        <w:pStyle w:val="Heading3"/>
        <w:keepNext/>
        <w:spacing w:after="60" w:before="180"/>
      </w:pPr>
      <w:r>
        <w:rPr>
          <w:rFonts w:ascii="Calibri" w:cs="Calibri" w:eastAsia="Calibri" w:hAnsi="Calibri"/>
          <w:b/>
          <w:bCs/>
          <w:color w:val="1F4E79"/>
          <w:spacing w:val="30"/>
          <w:sz w:val="18"/>
          <w:szCs w:val="18"/>
        </w:rPr>
        <w:t xml:space="preserve">INTERPRETATION</w:t>
      </w:r>
    </w:p>
    <w:p>
      <w:pPr>
        <w:spacing w:after="110" w:line="276"/>
      </w:pPr>
      <w:r>
        <w:rPr>
          <w:rFonts w:ascii="Calibri" w:cs="Calibri" w:eastAsia="Calibri" w:hAnsi="Calibri"/>
          <w:color w:val="262626"/>
          <w:sz w:val="21"/>
          <w:szCs w:val="21"/>
        </w:rPr>
        <w:t xml:space="preserve">These results suggest that readmission performance should be evaluated at both the </w:t>
      </w:r>
      <w:r>
        <w:rPr>
          <w:rFonts w:ascii="Calibri" w:cs="Calibri" w:eastAsia="Calibri" w:hAnsi="Calibri"/>
          <w:b/>
          <w:bCs/>
          <w:color w:val="262626"/>
          <w:sz w:val="21"/>
          <w:szCs w:val="21"/>
        </w:rPr>
        <w:t xml:space="preserve">hospital level and measure level</w:t>
      </w:r>
      <w:r>
        <w:rPr>
          <w:rFonts w:ascii="Calibri" w:cs="Calibri" w:eastAsia="Calibri" w:hAnsi="Calibri"/>
          <w:color w:val="262626"/>
          <w:sz w:val="21"/>
          <w:szCs w:val="21"/>
        </w:rPr>
        <w:t xml:space="preserve">. Hospitals with multiple worse-than-national classifications may warrant closer investigation because their results span several readmission measures rather than a single clinical condition.</w:t>
      </w:r>
    </w:p>
    <w:p>
      <w:pPr>
        <w:spacing w:after="110" w:line="276"/>
      </w:pPr>
      <w:r>
        <w:rPr>
          <w:rFonts w:ascii="Calibri" w:cs="Calibri" w:eastAsia="Calibri" w:hAnsi="Calibri"/>
          <w:color w:val="262626"/>
          <w:sz w:val="21"/>
          <w:szCs w:val="21"/>
        </w:rPr>
        <w:t xml:space="preserve">The measure-level comparison also indicates that hospital-wide readmission performance produced worse-than-national classifications more frequently than the individual condition-specific measures in this dataset. However, differences across measures should not automatically be interpreted as differences in clinical difficulty or hospital quality because the measures may differ in eligible populations, methodology, and statistical reliability.</w:t>
      </w:r>
    </w:p>
    <w:p>
      <w:pPr>
        <w:pStyle w:val="Heading3"/>
        <w:keepNext/>
        <w:spacing w:after="60" w:before="180"/>
      </w:pPr>
      <w:r>
        <w:rPr>
          <w:rFonts w:ascii="Calibri" w:cs="Calibri" w:eastAsia="Calibri" w:hAnsi="Calibri"/>
          <w:b/>
          <w:bCs/>
          <w:color w:val="1F4E79"/>
          <w:spacing w:val="30"/>
          <w:sz w:val="18"/>
          <w:szCs w:val="18"/>
        </w:rPr>
        <w:t xml:space="preserve">LIMITATIONS</w:t>
      </w:r>
    </w:p>
    <w:p>
      <w:pPr>
        <w:spacing w:after="110" w:line="276"/>
      </w:pPr>
      <w:r>
        <w:rPr>
          <w:rFonts w:ascii="Calibri" w:cs="Calibri" w:eastAsia="Calibri" w:hAnsi="Calibri"/>
          <w:color w:val="262626"/>
          <w:sz w:val="21"/>
          <w:szCs w:val="21"/>
        </w:rPr>
        <w:t xml:space="preserve">The analysis relies on CMS’s national comparison classifications rather than constructing an independent expected-readmission model. Therefore, </w:t>
      </w:r>
      <w:r>
        <w:rPr>
          <w:rFonts w:ascii="Calibri" w:cs="Calibri" w:eastAsia="Calibri" w:hAnsi="Calibri"/>
          <w:b/>
          <w:bCs/>
          <w:color w:val="262626"/>
          <w:sz w:val="21"/>
          <w:szCs w:val="21"/>
        </w:rPr>
        <w:t xml:space="preserve">“higher-than-expected” in this analysis specifically means that CMS classified the hospital’s measure as “Worse Than the National Rate.”</w:t>
      </w:r>
    </w:p>
    <w:p>
      <w:pPr>
        <w:spacing w:after="110" w:line="276"/>
      </w:pPr>
      <w:r>
        <w:rPr>
          <w:rFonts w:ascii="Calibri" w:cs="Calibri" w:eastAsia="Calibri" w:hAnsi="Calibri"/>
          <w:color w:val="262626"/>
          <w:sz w:val="21"/>
          <w:szCs w:val="21"/>
        </w:rPr>
        <w:t xml:space="preserve">A substantial number of hospital-measure observations were labeled </w:t>
      </w:r>
      <w:r>
        <w:rPr>
          <w:rFonts w:ascii="Calibri" w:cs="Calibri" w:eastAsia="Calibri" w:hAnsi="Calibri"/>
          <w:b/>
          <w:bCs/>
          <w:color w:val="262626"/>
          <w:sz w:val="21"/>
          <w:szCs w:val="21"/>
        </w:rPr>
        <w:t xml:space="preserve">“Number of Cases Too Small”</w:t>
      </w:r>
      <w:r>
        <w:rPr>
          <w:rFonts w:ascii="Calibri" w:cs="Calibri" w:eastAsia="Calibri" w:hAnsi="Calibri"/>
          <w:color w:val="262626"/>
          <w:sz w:val="21"/>
          <w:szCs w:val="21"/>
        </w:rPr>
        <w:t xml:space="preserve"> or </w:t>
      </w:r>
      <w:r>
        <w:rPr>
          <w:rFonts w:ascii="Calibri" w:cs="Calibri" w:eastAsia="Calibri" w:hAnsi="Calibri"/>
          <w:b/>
          <w:bCs/>
          <w:color w:val="262626"/>
          <w:sz w:val="21"/>
          <w:szCs w:val="21"/>
        </w:rPr>
        <w:t xml:space="preserve">“Not Available.”</w:t>
      </w:r>
      <w:r>
        <w:rPr>
          <w:rFonts w:ascii="Calibri" w:cs="Calibri" w:eastAsia="Calibri" w:hAnsi="Calibri"/>
          <w:color w:val="262626"/>
          <w:sz w:val="21"/>
          <w:szCs w:val="21"/>
        </w:rPr>
        <w:t xml:space="preserve"> These observations could not be meaningfully classified as better, similar, or worse and were therefore excluded from rate calculations.</w:t>
      </w:r>
    </w:p>
    <w:p>
      <w:pPr>
        <w:spacing w:after="110" w:line="276"/>
      </w:pPr>
      <w:r>
        <w:rPr>
          <w:rFonts w:ascii="Calibri" w:cs="Calibri" w:eastAsia="Calibri" w:hAnsi="Calibri"/>
          <w:color w:val="262626"/>
          <w:sz w:val="21"/>
          <w:szCs w:val="21"/>
        </w:rPr>
        <w:t xml:space="preserve">The analysis is descriptive and does not establish why a hospital has elevated readmission performance. Differences may be associated with patient case mix, clinical complexity, discharge practices, follow-up care, socioeconomic factors, or other hospital and community characteristics not evaluated in this dashboard.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keepNext/>
              <w:spacing w:after="60"/>
            </w:pPr>
            <w:r>
              <w:rPr>
                <w:rFonts w:ascii="Calibri" w:cs="Calibri" w:eastAsia="Calibri" w:hAnsi="Calibri"/>
                <w:b/>
                <w:bCs/>
                <w:color w:val="1F4E79"/>
                <w:spacing w:val="30"/>
                <w:sz w:val="18"/>
                <w:szCs w:val="18"/>
              </w:rPr>
              <w:t xml:space="preserve">BUSINESS TAKEAWAY</w:t>
            </w:r>
          </w:p>
          <w:p>
            <w:pPr>
              <w:spacing w:after="90" w:line="272"/>
            </w:pPr>
            <w:r>
              <w:rPr>
                <w:rFonts w:ascii="Calibri" w:cs="Calibri" w:eastAsia="Calibri" w:hAnsi="Calibri"/>
                <w:color w:val="262626"/>
                <w:sz w:val="21"/>
                <w:szCs w:val="21"/>
              </w:rPr>
              <w:t xml:space="preserve">The dashboard provides a targeted way to identify hospitals and clinical areas that may warrant further review. Hospitals with several worse-than-national readmission measures can be prioritized for deeper investigation, while the measure-level analysis helps identify which types of readmission outcomes are more frequently associated with unfavorable national comparisons.</w:t>
            </w:r>
          </w:p>
          <w:p>
            <w:pPr>
              <w:spacing w:after="0" w:line="272"/>
            </w:pPr>
            <w:r>
              <w:rPr>
                <w:rFonts w:ascii="Calibri" w:cs="Calibri" w:eastAsia="Calibri" w:hAnsi="Calibri"/>
                <w:color w:val="262626"/>
                <w:sz w:val="21"/>
                <w:szCs w:val="21"/>
              </w:rPr>
              <w:t xml:space="preserve">The results should therefore be used as a </w:t>
            </w:r>
            <w:r>
              <w:rPr>
                <w:rFonts w:ascii="Calibri" w:cs="Calibri" w:eastAsia="Calibri" w:hAnsi="Calibri"/>
                <w:b/>
                <w:bCs/>
                <w:color w:val="262626"/>
                <w:sz w:val="21"/>
                <w:szCs w:val="21"/>
              </w:rPr>
              <w:t xml:space="preserve">screening and benchmarking tool</w:t>
            </w:r>
            <w:r>
              <w:rPr>
                <w:rFonts w:ascii="Calibri" w:cs="Calibri" w:eastAsia="Calibri" w:hAnsi="Calibri"/>
                <w:color w:val="262626"/>
                <w:sz w:val="21"/>
                <w:szCs w:val="21"/>
              </w:rPr>
              <w:t xml:space="preserve">, rather than as a standalone ranking of hospital quality.</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800" w:sz="24"/>
              <w:bottom w:val="none" w:color="FFFFFF" w:sz="0"/>
              <w:right w:val="none" w:color="FFFFFF" w:sz="0"/>
            </w:tcBorders>
            <w:shd w:fill="FFF4D6" w:color="auto" w:val="clear"/>
            <w:tcMar>
              <w:top w:type="dxa" w:w="80"/>
              <w:left w:type="dxa" w:w="120"/>
              <w:bottom w:type="dxa" w:w="80"/>
              <w:right w:type="dxa" w:w="120"/>
            </w:tcMar>
            <w:vAlign w:val="top"/>
          </w:tcPr>
          <w:p>
            <w:pPr>
              <w:keepNext/>
              <w:spacing w:after="60"/>
            </w:pPr>
            <w:r>
              <w:rPr>
                <w:rFonts w:ascii="Calibri" w:cs="Calibri" w:eastAsia="Calibri" w:hAnsi="Calibri"/>
                <w:b/>
                <w:bCs/>
                <w:color w:val="8A6500"/>
                <w:spacing w:val="30"/>
                <w:sz w:val="18"/>
                <w:szCs w:val="18"/>
              </w:rPr>
              <w:t xml:space="preserve">BRINGING IT TOGETHER</w:t>
            </w:r>
          </w:p>
          <w:p>
            <w:pPr>
              <w:spacing w:after="0" w:line="272"/>
            </w:pPr>
            <w:r>
              <w:rPr>
                <w:rFonts w:ascii="Calibri" w:cs="Calibri" w:eastAsia="Calibri" w:hAnsi="Calibri"/>
                <w:color w:val="262626"/>
                <w:sz w:val="21"/>
                <w:szCs w:val="21"/>
              </w:rPr>
              <w:t xml:space="preserve">Considering all different aspects of hospital performance, I can finally build an integrated Hospital Value Index to evaluate </w:t>
            </w:r>
            <w:r>
              <w:rPr>
                <w:rFonts w:ascii="Calibri" w:cs="Calibri" w:eastAsia="Calibri" w:hAnsi="Calibri"/>
                <w:b/>
                <w:bCs/>
                <w:color w:val="262626"/>
                <w:sz w:val="21"/>
                <w:szCs w:val="21"/>
              </w:rPr>
              <w:t xml:space="preserve">which hospitals provide the best overall value when quality, patient experience, cost, and readmission outcomes are considered together</w:t>
            </w:r>
            <w:r>
              <w:rPr>
                <w:rFonts w:ascii="Calibri" w:cs="Calibri" w:eastAsia="Calibri" w:hAnsi="Calibri"/>
                <w:color w:val="262626"/>
                <w:sz w:val="21"/>
                <w:szCs w:val="21"/>
              </w:rPr>
              <w:t xml:space="preserve">.</w:t>
            </w:r>
          </w:p>
        </w:tc>
      </w:tr>
    </w:tbl>
    <w:p>
      <w:pPr>
        <w:spacing w:after="60"/>
      </w:pPr>
    </w:p>
    <w:p>
      <w:pPr>
        <w:pStyle w:val="Heading1"/>
        <w:keepNext/>
        <w:pBdr>
          <w:bottom w:val="single" w:color="1F4E79" w:sz="8" w:space="2"/>
        </w:pBdr>
        <w:spacing w:after="140" w:before="360"/>
      </w:pPr>
      <w:r>
        <w:rPr>
          <w:rFonts w:ascii="Calibri" w:cs="Calibri" w:eastAsia="Calibri" w:hAnsi="Calibri"/>
          <w:b/>
          <w:bCs/>
          <w:color w:val="1F4E79"/>
          <w:sz w:val="30"/>
          <w:szCs w:val="30"/>
        </w:rPr>
        <w:t xml:space="preserve">5. Additional Questions</w:t>
      </w:r>
    </w:p>
    <w:p>
      <w:pPr>
        <w:pStyle w:val="Heading2"/>
        <w:keepNext/>
        <w:spacing w:after="80" w:before="300"/>
      </w:pPr>
      <w:r>
        <w:rPr>
          <w:rFonts w:ascii="Calibri" w:cs="Calibri" w:eastAsia="Calibri" w:hAnsi="Calibri"/>
          <w:b/>
          <w:bCs/>
          <w:color w:val="2E75B6"/>
          <w:sz w:val="25"/>
          <w:szCs w:val="25"/>
        </w:rPr>
        <w:t xml:space="preserve">5.1 Market Access</w:t>
      </w:r>
    </w:p>
    <w:p>
      <w:pPr>
        <w:pBdr>
          <w:left w:val="single" w:color="2E75B6" w:sz="18" w:space="8"/>
        </w:pBdr>
        <w:spacing w:after="120" w:line="276"/>
        <w:ind w:left="200"/>
      </w:pPr>
      <w:r>
        <w:rPr>
          <w:rFonts w:ascii="Calibri" w:cs="Calibri" w:eastAsia="Calibri" w:hAnsi="Calibri"/>
          <w:i/>
          <w:iCs/>
          <w:color w:val="595959"/>
          <w:sz w:val="22"/>
          <w:szCs w:val="22"/>
        </w:rPr>
        <w:t xml:space="preserve">Which counties may have insufficient hospital capacity relative to their population?</w:t>
      </w:r>
    </w:p>
    <w:p>
      <w:pPr>
        <w:pStyle w:val="Heading3"/>
        <w:keepNext/>
        <w:spacing w:after="60" w:before="180"/>
      </w:pPr>
      <w:r>
        <w:rPr>
          <w:rFonts w:ascii="Calibri" w:cs="Calibri" w:eastAsia="Calibri" w:hAnsi="Calibri"/>
          <w:b/>
          <w:bCs/>
          <w:color w:val="1F4E79"/>
          <w:spacing w:val="30"/>
          <w:sz w:val="18"/>
          <w:szCs w:val="18"/>
        </w:rPr>
        <w:t xml:space="preserve">METHODOLOGY</w:t>
      </w:r>
    </w:p>
    <w:p>
      <w:pPr>
        <w:spacing w:after="110" w:line="276"/>
      </w:pPr>
      <w:r>
        <w:rPr>
          <w:rFonts w:ascii="Calibri" w:cs="Calibri" w:eastAsia="Calibri" w:hAnsi="Calibri"/>
          <w:color w:val="262626"/>
          <w:sz w:val="21"/>
          <w:szCs w:val="21"/>
        </w:rPr>
        <w:t xml:space="preserve">County-level hospital availability was evaluated by combining hospital counts with Census population estimates. The primary access indicator was: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spacing w:after="0"/>
              <w:jc w:val="center"/>
            </w:pPr>
            <w:r>
              <w:rPr>
                <w:rFonts w:ascii="Cambria Math" w:cs="Cambria Math" w:eastAsia="Cambria Math" w:hAnsi="Cambria Math"/>
                <w:color w:val="262626"/>
                <w:sz w:val="21"/>
                <w:szCs w:val="21"/>
              </w:rPr>
              <w:t xml:space="preserve">Hospitals per 100,000 Residents = (Hospital Count ÷ County Population) × 100,000</w:t>
            </w:r>
          </w:p>
        </w:tc>
      </w:tr>
    </w:tbl>
    <w:p>
      <w:pPr>
        <w:spacing w:after="100"/>
      </w:pPr>
    </w:p>
    <w:p>
      <w:pPr>
        <w:spacing w:after="110" w:line="276"/>
      </w:pPr>
      <w:r>
        <w:rPr>
          <w:rFonts w:ascii="Calibri" w:cs="Calibri" w:eastAsia="Calibri" w:hAnsi="Calibri"/>
          <w:color w:val="262626"/>
          <w:sz w:val="21"/>
          <w:szCs w:val="21"/>
        </w:rPr>
        <w:t xml:space="preserve">Because hospital availability varies substantially across counties and the distributions of both county population and hospitals per 100,000 residents were highly skewed, counties were screened using relative rather than arbitrary thresholds.</w:t>
      </w:r>
    </w:p>
    <w:p>
      <w:pPr>
        <w:spacing w:after="110" w:line="276"/>
      </w:pPr>
      <w:r>
        <w:rPr>
          <w:rFonts w:ascii="Calibri" w:cs="Calibri" w:eastAsia="Calibri" w:hAnsi="Calibri"/>
          <w:color w:val="262626"/>
          <w:sz w:val="21"/>
          <w:szCs w:val="21"/>
        </w:rPr>
        <w:t xml:space="preserve">A county was classified as a </w:t>
      </w:r>
      <w:r>
        <w:rPr>
          <w:rFonts w:ascii="Calibri" w:cs="Calibri" w:eastAsia="Calibri" w:hAnsi="Calibri"/>
          <w:b/>
          <w:bCs/>
          <w:color w:val="262626"/>
          <w:sz w:val="21"/>
          <w:szCs w:val="21"/>
        </w:rPr>
        <w:t xml:space="preserve">Potential Access Gap</w:t>
      </w:r>
      <w:r>
        <w:rPr>
          <w:rFonts w:ascii="Calibri" w:cs="Calibri" w:eastAsia="Calibri" w:hAnsi="Calibri"/>
          <w:color w:val="262626"/>
          <w:sz w:val="21"/>
          <w:szCs w:val="21"/>
        </w:rPr>
        <w:t xml:space="preserve"> when it met both of the following conditions:</w:t>
      </w:r>
    </w:p>
    <w:p>
      <w:pPr>
        <w:pStyle w:val="ListParagraph"/>
        <w:numPr>
          <w:ilvl w:val="0"/>
          <w:numId w:val="2"/>
        </w:numPr>
        <w:spacing w:after="60" w:line="269"/>
      </w:pPr>
      <w:r>
        <w:rPr>
          <w:rFonts w:ascii="Calibri" w:cs="Calibri" w:eastAsia="Calibri" w:hAnsi="Calibri"/>
          <w:color w:val="262626"/>
          <w:sz w:val="21"/>
          <w:szCs w:val="21"/>
        </w:rPr>
        <w:t xml:space="preserve">County population was </w:t>
      </w:r>
      <w:r>
        <w:rPr>
          <w:rFonts w:ascii="Calibri" w:cs="Calibri" w:eastAsia="Calibri" w:hAnsi="Calibri"/>
          <w:b/>
          <w:bCs/>
          <w:color w:val="262626"/>
          <w:sz w:val="21"/>
          <w:szCs w:val="21"/>
        </w:rPr>
        <w:t xml:space="preserve">above the national county median</w:t>
      </w:r>
      <w:r>
        <w:rPr>
          <w:rFonts w:ascii="Calibri" w:cs="Calibri" w:eastAsia="Calibri" w:hAnsi="Calibri"/>
          <w:color w:val="262626"/>
          <w:sz w:val="21"/>
          <w:szCs w:val="21"/>
        </w:rPr>
        <w:t xml:space="preserve">.</w:t>
      </w:r>
    </w:p>
    <w:p>
      <w:pPr>
        <w:pStyle w:val="ListParagraph"/>
        <w:numPr>
          <w:ilvl w:val="0"/>
          <w:numId w:val="2"/>
        </w:numPr>
        <w:spacing w:after="60" w:line="269"/>
      </w:pPr>
      <w:r>
        <w:rPr>
          <w:rFonts w:ascii="Calibri" w:cs="Calibri" w:eastAsia="Calibri" w:hAnsi="Calibri"/>
          <w:color w:val="262626"/>
          <w:sz w:val="21"/>
          <w:szCs w:val="21"/>
        </w:rPr>
        <w:t xml:space="preserve">Hospitals per 100,000 residents was </w:t>
      </w:r>
      <w:r>
        <w:rPr>
          <w:rFonts w:ascii="Calibri" w:cs="Calibri" w:eastAsia="Calibri" w:hAnsi="Calibri"/>
          <w:b/>
          <w:bCs/>
          <w:color w:val="262626"/>
          <w:sz w:val="21"/>
          <w:szCs w:val="21"/>
        </w:rPr>
        <w:t xml:space="preserve">below the national county median</w:t>
      </w:r>
      <w:r>
        <w:rPr>
          <w:rFonts w:ascii="Calibri" w:cs="Calibri" w:eastAsia="Calibri" w:hAnsi="Calibri"/>
          <w:color w:val="262626"/>
          <w:sz w:val="21"/>
          <w:szCs w:val="21"/>
        </w:rPr>
        <w:t xml:space="preserve">.</w:t>
      </w:r>
    </w:p>
    <w:p>
      <w:pPr>
        <w:spacing w:after="110" w:line="276"/>
      </w:pPr>
      <w:r>
        <w:rPr>
          <w:rFonts w:ascii="Calibri" w:cs="Calibri" w:eastAsia="Calibri" w:hAnsi="Calibri"/>
          <w:color w:val="262626"/>
          <w:sz w:val="21"/>
          <w:szCs w:val="21"/>
        </w:rPr>
        <w:t xml:space="preserve">This definition was designed to identify relatively large markets with comparatively low hospital availability rather than to establish an official hospital-shortage designation.</w:t>
      </w:r>
    </w:p>
    <w:p>
      <w:pPr>
        <w:spacing w:after="110" w:line="276"/>
      </w:pPr>
      <w:r>
        <w:rPr>
          <w:rFonts w:ascii="Calibri" w:cs="Calibri" w:eastAsia="Calibri" w:hAnsi="Calibri"/>
          <w:color w:val="262626"/>
          <w:sz w:val="21"/>
          <w:szCs w:val="21"/>
        </w:rPr>
        <w:t xml:space="preserve">The analysis then examined potential access gaps from two perspectives: counties were ranked by population to identify the largest potential markets, while state-level rates measured the proportion of counties within each state meeting the Potential Access Gap criteria.</w:t>
      </w:r>
    </w:p>
    <w:p>
      <w:pPr>
        <w:pStyle w:val="Heading3"/>
        <w:keepNext/>
        <w:spacing w:after="60" w:before="180"/>
      </w:pPr>
      <w:r>
        <w:rPr>
          <w:rFonts w:ascii="Calibri" w:cs="Calibri" w:eastAsia="Calibri" w:hAnsi="Calibri"/>
          <w:b/>
          <w:bCs/>
          <w:color w:val="1F4E79"/>
          <w:spacing w:val="30"/>
          <w:sz w:val="18"/>
          <w:szCs w:val="18"/>
        </w:rPr>
        <w:t xml:space="preserve">KEY FINDINGS</w:t>
      </w:r>
    </w:p>
    <w:p>
      <w:pPr>
        <w:spacing w:after="110" w:line="276"/>
      </w:pPr>
      <w:r>
        <w:rPr>
          <w:rFonts w:ascii="Calibri" w:cs="Calibri" w:eastAsia="Calibri" w:hAnsi="Calibri"/>
          <w:color w:val="262626"/>
          <w:sz w:val="21"/>
          <w:szCs w:val="21"/>
        </w:rPr>
        <w:t xml:space="preserve">The analysis identified several large metropolitan counties that met the Potential Access Gap screening criteria. </w:t>
      </w:r>
      <w:r>
        <w:rPr>
          <w:rFonts w:ascii="Calibri" w:cs="Calibri" w:eastAsia="Calibri" w:hAnsi="Calibri"/>
          <w:b/>
          <w:bCs/>
          <w:color w:val="262626"/>
          <w:sz w:val="21"/>
          <w:szCs w:val="21"/>
        </w:rPr>
        <w:t xml:space="preserve">Los Angeles County, California</w:t>
      </w:r>
      <w:r>
        <w:rPr>
          <w:rFonts w:ascii="Calibri" w:cs="Calibri" w:eastAsia="Calibri" w:hAnsi="Calibri"/>
          <w:color w:val="262626"/>
          <w:sz w:val="21"/>
          <w:szCs w:val="21"/>
        </w:rPr>
        <w:t xml:space="preserve"> had by far the largest population among the identified counties. Other large markets included </w:t>
      </w:r>
      <w:r>
        <w:rPr>
          <w:rFonts w:ascii="Calibri" w:cs="Calibri" w:eastAsia="Calibri" w:hAnsi="Calibri"/>
          <w:b/>
          <w:bCs/>
          <w:color w:val="262626"/>
          <w:sz w:val="21"/>
          <w:szCs w:val="21"/>
        </w:rPr>
        <w:t xml:space="preserve">Cook County, Illinois; Harris County, Texas; Maricopa County, Arizona; San Diego County, California; Orange County, California; Miami-Dade County, Florida; and Dallas County, Texas.</w:t>
      </w:r>
    </w:p>
    <w:p>
      <w:pPr>
        <w:spacing w:after="110" w:line="276"/>
      </w:pPr>
      <w:r>
        <w:rPr>
          <w:rFonts w:ascii="Calibri" w:cs="Calibri" w:eastAsia="Calibri" w:hAnsi="Calibri"/>
          <w:color w:val="262626"/>
          <w:sz w:val="21"/>
          <w:szCs w:val="21"/>
        </w:rPr>
        <w:t xml:space="preserve">The results demonstrate that potential access concerns are not limited to small or rural markets. Several of the largest counties in the country have comparatively low numbers of hospitals relative to their populations under the screening methodology.</w:t>
      </w:r>
    </w:p>
    <w:p>
      <w:pPr>
        <w:spacing w:after="110" w:line="276"/>
      </w:pPr>
      <w:r>
        <w:rPr>
          <w:rFonts w:ascii="Calibri" w:cs="Calibri" w:eastAsia="Calibri" w:hAnsi="Calibri"/>
          <w:color w:val="262626"/>
          <w:sz w:val="21"/>
          <w:szCs w:val="21"/>
        </w:rPr>
        <w:t xml:space="preserve">At the state level, the geographic analysis also showed that Potential Access Gap counties are not distributed uniformly across the United States. Some states contain a larger proportion of counties meeting the screening criteria than others, indicating geographic variation in relative hospital availability.</w:t>
      </w:r>
    </w:p>
    <w:p>
      <w:pPr>
        <w:pStyle w:val="Heading3"/>
        <w:keepNext/>
        <w:spacing w:after="60" w:before="180"/>
      </w:pPr>
      <w:r>
        <w:rPr>
          <w:rFonts w:ascii="Calibri" w:cs="Calibri" w:eastAsia="Calibri" w:hAnsi="Calibri"/>
          <w:b/>
          <w:bCs/>
          <w:color w:val="1F4E79"/>
          <w:spacing w:val="30"/>
          <w:sz w:val="18"/>
          <w:szCs w:val="18"/>
        </w:rPr>
        <w:t xml:space="preserve">INTERPRETATION</w:t>
      </w:r>
    </w:p>
    <w:p>
      <w:pPr>
        <w:spacing w:after="110" w:line="276"/>
      </w:pPr>
      <w:r>
        <w:rPr>
          <w:rFonts w:ascii="Calibri" w:cs="Calibri" w:eastAsia="Calibri" w:hAnsi="Calibri"/>
          <w:color w:val="262626"/>
          <w:sz w:val="21"/>
          <w:szCs w:val="21"/>
        </w:rPr>
        <w:t xml:space="preserve">The county-level analysis provides a way to distinguish </w:t>
      </w:r>
      <w:r>
        <w:rPr>
          <w:rFonts w:ascii="Calibri" w:cs="Calibri" w:eastAsia="Calibri" w:hAnsi="Calibri"/>
          <w:b/>
          <w:bCs/>
          <w:color w:val="262626"/>
          <w:sz w:val="21"/>
          <w:szCs w:val="21"/>
        </w:rPr>
        <w:t xml:space="preserve">market size from relative hospital availability</w:t>
      </w:r>
      <w:r>
        <w:rPr>
          <w:rFonts w:ascii="Calibri" w:cs="Calibri" w:eastAsia="Calibri" w:hAnsi="Calibri"/>
          <w:color w:val="262626"/>
          <w:sz w:val="21"/>
          <w:szCs w:val="21"/>
        </w:rPr>
        <w:t xml:space="preserve">. A county may have several hospitals in absolute terms but still have comparatively low hospital availability once population size is considered.</w:t>
      </w:r>
    </w:p>
    <w:p>
      <w:pPr>
        <w:spacing w:after="110" w:line="276"/>
      </w:pPr>
      <w:r>
        <w:rPr>
          <w:rFonts w:ascii="Calibri" w:cs="Calibri" w:eastAsia="Calibri" w:hAnsi="Calibri"/>
          <w:color w:val="262626"/>
          <w:sz w:val="21"/>
          <w:szCs w:val="21"/>
        </w:rPr>
        <w:t xml:space="preserve">For strategic planning, large counties that meet the Potential Access Gap criteria may warrant further investigation because they combine substantial population demand with relatively low hospital availability. However, the analysis should be interpreted as a </w:t>
      </w:r>
      <w:r>
        <w:rPr>
          <w:rFonts w:ascii="Calibri" w:cs="Calibri" w:eastAsia="Calibri" w:hAnsi="Calibri"/>
          <w:b/>
          <w:bCs/>
          <w:color w:val="262626"/>
          <w:sz w:val="21"/>
          <w:szCs w:val="21"/>
        </w:rPr>
        <w:t xml:space="preserve">market-screening framework</w:t>
      </w:r>
      <w:r>
        <w:rPr>
          <w:rFonts w:ascii="Calibri" w:cs="Calibri" w:eastAsia="Calibri" w:hAnsi="Calibri"/>
          <w:color w:val="262626"/>
          <w:sz w:val="21"/>
          <w:szCs w:val="21"/>
        </w:rPr>
        <w:t xml:space="preserve">, not as evidence that additional hospitals are necessarily required.</w:t>
      </w:r>
    </w:p>
    <w:p>
      <w:pPr>
        <w:spacing w:after="110" w:line="276"/>
      </w:pPr>
      <w:r>
        <w:rPr>
          <w:rFonts w:ascii="Calibri" w:cs="Calibri" w:eastAsia="Calibri" w:hAnsi="Calibri"/>
          <w:color w:val="262626"/>
          <w:sz w:val="21"/>
          <w:szCs w:val="21"/>
        </w:rPr>
        <w:t xml:space="preserve">Similarly, a darker state on the map does not mean that the entire state has a hospital shortage. It indicates that a </w:t>
      </w:r>
      <w:r>
        <w:rPr>
          <w:rFonts w:ascii="Calibri" w:cs="Calibri" w:eastAsia="Calibri" w:hAnsi="Calibri"/>
          <w:b/>
          <w:bCs/>
          <w:color w:val="262626"/>
          <w:sz w:val="21"/>
          <w:szCs w:val="21"/>
        </w:rPr>
        <w:t xml:space="preserve">larger proportion of counties in that state meet the project’s Potential Access Gap definition</w:t>
      </w:r>
      <w:r>
        <w:rPr>
          <w:rFonts w:ascii="Calibri" w:cs="Calibri" w:eastAsia="Calibri" w:hAnsi="Calibri"/>
          <w:color w:val="262626"/>
          <w:sz w:val="21"/>
          <w:szCs w:val="21"/>
        </w:rPr>
        <w:t xml:space="preserve">.</w:t>
      </w:r>
    </w:p>
    <w:p>
      <w:pPr>
        <w:pStyle w:val="Heading3"/>
        <w:keepNext/>
        <w:spacing w:after="60" w:before="180"/>
      </w:pPr>
      <w:r>
        <w:rPr>
          <w:rFonts w:ascii="Calibri" w:cs="Calibri" w:eastAsia="Calibri" w:hAnsi="Calibri"/>
          <w:b/>
          <w:bCs/>
          <w:color w:val="1F4E79"/>
          <w:spacing w:val="30"/>
          <w:sz w:val="18"/>
          <w:szCs w:val="18"/>
        </w:rPr>
        <w:t xml:space="preserve">ANALYTICAL CHALLENGE AND VISUALIZATION DECISION</w:t>
      </w:r>
    </w:p>
    <w:p>
      <w:pPr>
        <w:spacing w:after="110" w:line="276"/>
      </w:pPr>
      <w:r>
        <w:rPr>
          <w:rFonts w:ascii="Calibri" w:cs="Calibri" w:eastAsia="Calibri" w:hAnsi="Calibri"/>
          <w:color w:val="262626"/>
          <w:sz w:val="21"/>
          <w:szCs w:val="21"/>
        </w:rPr>
        <w:t xml:space="preserve">An initial approach ranked counties solely by hospitals per 100,000 residents. Although this visualization was conceptually appropriate, it proved difficult to interpret because the metric was highly right-skewed. Small-population counties could produce extremely high per-capita hospital rates, compressing most counties into a narrow portion of the visualization.</w:t>
      </w:r>
    </w:p>
    <w:p>
      <w:pPr>
        <w:spacing w:after="110" w:line="276"/>
      </w:pPr>
      <w:r>
        <w:rPr>
          <w:rFonts w:ascii="Calibri" w:cs="Calibri" w:eastAsia="Calibri" w:hAnsi="Calibri"/>
          <w:color w:val="262626"/>
          <w:sz w:val="21"/>
          <w:szCs w:val="21"/>
        </w:rPr>
        <w:t xml:space="preserve">A population-versus-hospital-availability scatter plot was subsequently evaluated. While it provided additional context, counties with similar populations still exhibited substantial variation in hospital availability, and the visualization did not provide a sufficiently clear prioritization framework.</w:t>
      </w:r>
    </w:p>
    <w:p>
      <w:pPr>
        <w:spacing w:after="110" w:line="276"/>
      </w:pPr>
      <w:r>
        <w:rPr>
          <w:rFonts w:ascii="Calibri" w:cs="Calibri" w:eastAsia="Calibri" w:hAnsi="Calibri"/>
          <w:color w:val="262626"/>
          <w:sz w:val="21"/>
          <w:szCs w:val="21"/>
        </w:rPr>
        <w:t xml:space="preserve">The final analysis therefore used a </w:t>
      </w:r>
      <w:r>
        <w:rPr>
          <w:rFonts w:ascii="Calibri" w:cs="Calibri" w:eastAsia="Calibri" w:hAnsi="Calibri"/>
          <w:b/>
          <w:bCs/>
          <w:color w:val="262626"/>
          <w:sz w:val="21"/>
          <w:szCs w:val="21"/>
        </w:rPr>
        <w:t xml:space="preserve">two-condition screening approach</w:t>
      </w:r>
      <w:r>
        <w:rPr>
          <w:rFonts w:ascii="Calibri" w:cs="Calibri" w:eastAsia="Calibri" w:hAnsi="Calibri"/>
          <w:color w:val="262626"/>
          <w:sz w:val="21"/>
          <w:szCs w:val="21"/>
        </w:rPr>
        <w:t xml:space="preserve">—above-median population combined with below-median hospital availability—and presented the results through a ranked county view and a state-level geographic summary. This produced a more interpretable and decision-oriented view of potential market-access gaps.</w:t>
      </w:r>
    </w:p>
    <w:p>
      <w:pPr>
        <w:pStyle w:val="Heading3"/>
        <w:keepNext/>
        <w:spacing w:after="60" w:before="180"/>
      </w:pPr>
      <w:r>
        <w:rPr>
          <w:rFonts w:ascii="Calibri" w:cs="Calibri" w:eastAsia="Calibri" w:hAnsi="Calibri"/>
          <w:b/>
          <w:bCs/>
          <w:color w:val="1F4E79"/>
          <w:spacing w:val="30"/>
          <w:sz w:val="18"/>
          <w:szCs w:val="18"/>
        </w:rPr>
        <w:t xml:space="preserve">LIMITATIONS</w:t>
      </w:r>
    </w:p>
    <w:p>
      <w:pPr>
        <w:spacing w:after="110" w:line="276"/>
      </w:pPr>
      <w:r>
        <w:rPr>
          <w:rFonts w:ascii="Calibri" w:cs="Calibri" w:eastAsia="Calibri" w:hAnsi="Calibri"/>
          <w:color w:val="262626"/>
          <w:sz w:val="21"/>
          <w:szCs w:val="21"/>
        </w:rPr>
        <w:t xml:space="preserve">The analysis uses </w:t>
      </w:r>
      <w:r>
        <w:rPr>
          <w:rFonts w:ascii="Calibri" w:cs="Calibri" w:eastAsia="Calibri" w:hAnsi="Calibri"/>
          <w:b/>
          <w:bCs/>
          <w:color w:val="262626"/>
          <w:sz w:val="21"/>
          <w:szCs w:val="21"/>
        </w:rPr>
        <w:t xml:space="preserve">hospital count as a proxy for healthcare availability</w:t>
      </w:r>
      <w:r>
        <w:rPr>
          <w:rFonts w:ascii="Calibri" w:cs="Calibri" w:eastAsia="Calibri" w:hAnsi="Calibri"/>
          <w:color w:val="262626"/>
          <w:sz w:val="21"/>
          <w:szCs w:val="21"/>
        </w:rPr>
        <w:t xml:space="preserve">, which is not equivalent to actual hospital capacity. A large academic medical center and a small hospital both contribute one hospital to the count despite potentially substantial differences in beds, staffing, service capacity, and patient volume.</w:t>
      </w:r>
    </w:p>
    <w:p>
      <w:pPr>
        <w:spacing w:after="110" w:line="276"/>
      </w:pPr>
      <w:r>
        <w:rPr>
          <w:rFonts w:ascii="Calibri" w:cs="Calibri" w:eastAsia="Calibri" w:hAnsi="Calibri"/>
          <w:color w:val="262626"/>
          <w:sz w:val="21"/>
          <w:szCs w:val="21"/>
        </w:rPr>
        <w:t xml:space="preserve">The analysis also does not incorporate hospital bed counts, occupancy rates, emergency department capacity, travel distance, healthcare workforce availability, utilization, patient flows across county boundaries, or competing healthcare facilities.</w:t>
      </w:r>
    </w:p>
    <w:p>
      <w:pPr>
        <w:spacing w:after="110" w:line="276"/>
      </w:pPr>
      <w:r>
        <w:rPr>
          <w:rFonts w:ascii="Calibri" w:cs="Calibri" w:eastAsia="Calibri" w:hAnsi="Calibri"/>
          <w:color w:val="262626"/>
          <w:sz w:val="21"/>
          <w:szCs w:val="21"/>
        </w:rPr>
        <w:t xml:space="preserve">In addition, the median-based thresholds are analytical screening criteria rather than clinical or regulatory standards. A county classified as a Potential Access Gap should therefore not automatically be considered medically underserved or in need of a new hospital.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keepNext/>
              <w:spacing w:after="60"/>
            </w:pPr>
            <w:r>
              <w:rPr>
                <w:rFonts w:ascii="Calibri" w:cs="Calibri" w:eastAsia="Calibri" w:hAnsi="Calibri"/>
                <w:b/>
                <w:bCs/>
                <w:color w:val="1F4E79"/>
                <w:spacing w:val="30"/>
                <w:sz w:val="18"/>
                <w:szCs w:val="18"/>
              </w:rPr>
              <w:t xml:space="preserve">BUSINESS TAKEAWAY</w:t>
            </w:r>
          </w:p>
          <w:p>
            <w:pPr>
              <w:spacing w:after="90" w:line="272"/>
            </w:pPr>
            <w:r>
              <w:rPr>
                <w:rFonts w:ascii="Calibri" w:cs="Calibri" w:eastAsia="Calibri" w:hAnsi="Calibri"/>
                <w:color w:val="262626"/>
                <w:sz w:val="21"/>
                <w:szCs w:val="21"/>
              </w:rPr>
              <w:t xml:space="preserve">The analysis identifies </w:t>
            </w:r>
            <w:r>
              <w:rPr>
                <w:rFonts w:ascii="Calibri" w:cs="Calibri" w:eastAsia="Calibri" w:hAnsi="Calibri"/>
                <w:b/>
                <w:bCs/>
                <w:color w:val="262626"/>
                <w:sz w:val="21"/>
                <w:szCs w:val="21"/>
              </w:rPr>
              <w:t xml:space="preserve">large counties with comparatively low hospital availability relative to population</w:t>
            </w:r>
            <w:r>
              <w:rPr>
                <w:rFonts w:ascii="Calibri" w:cs="Calibri" w:eastAsia="Calibri" w:hAnsi="Calibri"/>
                <w:color w:val="262626"/>
                <w:sz w:val="21"/>
                <w:szCs w:val="21"/>
              </w:rPr>
              <w:t xml:space="preserve"> as candidates for deeper market-access assessment. These markets may be useful starting points when evaluating potential expansion opportunities, partnerships, outpatient capacity, or additional healthcare infrastructure.</w:t>
            </w:r>
          </w:p>
          <w:p>
            <w:pPr>
              <w:spacing w:after="0" w:line="272"/>
            </w:pPr>
            <w:r>
              <w:rPr>
                <w:rFonts w:ascii="Calibri" w:cs="Calibri" w:eastAsia="Calibri" w:hAnsi="Calibri"/>
                <w:color w:val="262626"/>
                <w:sz w:val="21"/>
                <w:szCs w:val="21"/>
              </w:rPr>
              <w:t xml:space="preserve">Before making an expansion decision, however, the identified counties should be evaluated using more detailed measures of actual healthcare capacity, utilization, patient demand, competitive conditions, and geographic accessibility.</w:t>
            </w:r>
          </w:p>
        </w:tc>
      </w:tr>
    </w:tbl>
    <w:p>
      <w:pPr>
        <w:spacing w:after="60"/>
      </w:pPr>
    </w:p>
    <w:p>
      <w:pPr>
        <w:pStyle w:val="Heading2"/>
        <w:keepNext/>
        <w:spacing w:after="80" w:before="300"/>
      </w:pPr>
      <w:r>
        <w:rPr>
          <w:rFonts w:ascii="Calibri" w:cs="Calibri" w:eastAsia="Calibri" w:hAnsi="Calibri"/>
          <w:b/>
          <w:bCs/>
          <w:color w:val="2E75B6"/>
          <w:sz w:val="25"/>
          <w:szCs w:val="25"/>
        </w:rPr>
        <w:t xml:space="preserve">5.2 Improvement Opportunity</w:t>
      </w:r>
    </w:p>
    <w:p>
      <w:pPr>
        <w:pBdr>
          <w:left w:val="single" w:color="2E75B6" w:sz="18" w:space="8"/>
        </w:pBdr>
        <w:spacing w:after="120" w:line="276"/>
        <w:ind w:left="200"/>
      </w:pPr>
      <w:r>
        <w:rPr>
          <w:rFonts w:ascii="Calibri" w:cs="Calibri" w:eastAsia="Calibri" w:hAnsi="Calibri"/>
          <w:i/>
          <w:iCs/>
          <w:color w:val="595959"/>
          <w:sz w:val="22"/>
          <w:szCs w:val="22"/>
        </w:rPr>
        <w:t xml:space="preserve">Which hospitals and markets should be prioritized for operational improvement or future expansion?</w:t>
      </w:r>
    </w:p>
    <w:p>
      <w:pPr>
        <w:pStyle w:val="Heading3"/>
        <w:keepNext/>
        <w:spacing w:after="60" w:before="180"/>
      </w:pPr>
      <w:r>
        <w:rPr>
          <w:rFonts w:ascii="Calibri" w:cs="Calibri" w:eastAsia="Calibri" w:hAnsi="Calibri"/>
          <w:b/>
          <w:bCs/>
          <w:color w:val="1F4E79"/>
          <w:spacing w:val="30"/>
          <w:sz w:val="18"/>
          <w:szCs w:val="18"/>
        </w:rPr>
        <w:t xml:space="preserve">HOSPITAL VALUE INDEX</w:t>
      </w:r>
    </w:p>
    <w:p>
      <w:pPr>
        <w:spacing w:after="110" w:line="276"/>
      </w:pPr>
      <w:r>
        <w:rPr>
          <w:rFonts w:ascii="Calibri" w:cs="Calibri" w:eastAsia="Calibri" w:hAnsi="Calibri"/>
          <w:color w:val="262626"/>
          <w:sz w:val="21"/>
          <w:szCs w:val="21"/>
        </w:rPr>
        <w:t xml:space="preserve">An exploratory </w:t>
      </w:r>
      <w:r>
        <w:rPr>
          <w:rFonts w:ascii="Calibri" w:cs="Calibri" w:eastAsia="Calibri" w:hAnsi="Calibri"/>
          <w:b/>
          <w:bCs/>
          <w:color w:val="262626"/>
          <w:sz w:val="21"/>
          <w:szCs w:val="21"/>
        </w:rPr>
        <w:t xml:space="preserve">Hospital Value Index (HVI)</w:t>
      </w:r>
      <w:r>
        <w:rPr>
          <w:rFonts w:ascii="Calibri" w:cs="Calibri" w:eastAsia="Calibri" w:hAnsi="Calibri"/>
          <w:color w:val="262626"/>
          <w:sz w:val="21"/>
          <w:szCs w:val="21"/>
        </w:rPr>
        <w:t xml:space="preserve"> was developed to compare hospitals across four performance dimensions:</w:t>
      </w:r>
    </w:p>
    <w:p>
      <w:pPr>
        <w:pStyle w:val="ListParagraph"/>
        <w:numPr>
          <w:ilvl w:val="0"/>
          <w:numId w:val="2"/>
        </w:numPr>
        <w:spacing w:after="60" w:line="269"/>
      </w:pPr>
      <w:r>
        <w:rPr>
          <w:rFonts w:ascii="Calibri" w:cs="Calibri" w:eastAsia="Calibri" w:hAnsi="Calibri"/>
          <w:b/>
          <w:bCs/>
          <w:color w:val="262626"/>
          <w:sz w:val="21"/>
          <w:szCs w:val="21"/>
        </w:rPr>
        <w:t xml:space="preserve">Quality:</w:t>
      </w:r>
      <w:r>
        <w:rPr>
          <w:rFonts w:ascii="Calibri" w:cs="Calibri" w:eastAsia="Calibri" w:hAnsi="Calibri"/>
          <w:color w:val="262626"/>
          <w:sz w:val="21"/>
          <w:szCs w:val="21"/>
        </w:rPr>
        <w:t xml:space="preserve"> CMS Hospital Overall Rating</w:t>
      </w:r>
    </w:p>
    <w:p>
      <w:pPr>
        <w:pStyle w:val="ListParagraph"/>
        <w:numPr>
          <w:ilvl w:val="0"/>
          <w:numId w:val="2"/>
        </w:numPr>
        <w:spacing w:after="60" w:line="269"/>
      </w:pPr>
      <w:r>
        <w:rPr>
          <w:rFonts w:ascii="Calibri" w:cs="Calibri" w:eastAsia="Calibri" w:hAnsi="Calibri"/>
          <w:b/>
          <w:bCs/>
          <w:color w:val="262626"/>
          <w:sz w:val="21"/>
          <w:szCs w:val="21"/>
        </w:rPr>
        <w:t xml:space="preserve">Patient Experience:</w:t>
      </w:r>
      <w:r>
        <w:rPr>
          <w:rFonts w:ascii="Calibri" w:cs="Calibri" w:eastAsia="Calibri" w:hAnsi="Calibri"/>
          <w:color w:val="262626"/>
          <w:sz w:val="21"/>
          <w:szCs w:val="21"/>
        </w:rPr>
        <w:t xml:space="preserve"> Percentage of patients who would definitely recommend the hospital</w:t>
      </w:r>
    </w:p>
    <w:p>
      <w:pPr>
        <w:pStyle w:val="ListParagraph"/>
        <w:numPr>
          <w:ilvl w:val="0"/>
          <w:numId w:val="2"/>
        </w:numPr>
        <w:spacing w:after="60" w:line="269"/>
      </w:pPr>
      <w:r>
        <w:rPr>
          <w:rFonts w:ascii="Calibri" w:cs="Calibri" w:eastAsia="Calibri" w:hAnsi="Calibri"/>
          <w:b/>
          <w:bCs/>
          <w:color w:val="262626"/>
          <w:sz w:val="21"/>
          <w:szCs w:val="21"/>
        </w:rPr>
        <w:t xml:space="preserve">Cost Efficiency:</w:t>
      </w:r>
      <w:r>
        <w:rPr>
          <w:rFonts w:ascii="Calibri" w:cs="Calibri" w:eastAsia="Calibri" w:hAnsi="Calibri"/>
          <w:color w:val="262626"/>
          <w:sz w:val="21"/>
          <w:szCs w:val="21"/>
        </w:rPr>
        <w:t xml:space="preserve"> Medicare Spending per Beneficiary (MSPB) Score</w:t>
      </w:r>
    </w:p>
    <w:p>
      <w:pPr>
        <w:pStyle w:val="ListParagraph"/>
        <w:numPr>
          <w:ilvl w:val="0"/>
          <w:numId w:val="2"/>
        </w:numPr>
        <w:spacing w:after="60" w:line="269"/>
      </w:pPr>
      <w:r>
        <w:rPr>
          <w:rFonts w:ascii="Calibri" w:cs="Calibri" w:eastAsia="Calibri" w:hAnsi="Calibri"/>
          <w:b/>
          <w:bCs/>
          <w:color w:val="262626"/>
          <w:sz w:val="21"/>
          <w:szCs w:val="21"/>
        </w:rPr>
        <w:t xml:space="preserve">Readmission Performance:</w:t>
      </w:r>
      <w:r>
        <w:rPr>
          <w:rFonts w:ascii="Calibri" w:cs="Calibri" w:eastAsia="Calibri" w:hAnsi="Calibri"/>
          <w:color w:val="262626"/>
          <w:sz w:val="21"/>
          <w:szCs w:val="21"/>
        </w:rPr>
        <w:t xml:space="preserve"> Proportion of valid readmission measures classified as worse than the national rate</w:t>
      </w:r>
    </w:p>
    <w:p>
      <w:pPr>
        <w:spacing w:after="110" w:line="276"/>
      </w:pPr>
      <w:r>
        <w:rPr>
          <w:rFonts w:ascii="Calibri" w:cs="Calibri" w:eastAsia="Calibri" w:hAnsi="Calibri"/>
          <w:color w:val="262626"/>
          <w:sz w:val="21"/>
          <w:szCs w:val="21"/>
        </w:rPr>
        <w:t xml:space="preserve">Because these metrics use different scales and directions, they were transformed into comparable 0–100 component scores.</w:t>
      </w:r>
    </w:p>
    <w:p>
      <w:pPr>
        <w:spacing w:after="110" w:line="276"/>
      </w:pPr>
      <w:r>
        <w:rPr>
          <w:rFonts w:ascii="Calibri" w:cs="Calibri" w:eastAsia="Calibri" w:hAnsi="Calibri"/>
          <w:color w:val="262626"/>
          <w:sz w:val="21"/>
          <w:szCs w:val="21"/>
        </w:rPr>
        <w:t xml:space="preserve">Higher hospital ratings and patient recommendation rates represent stronger performance, while lower MSPB scores represent greater relative cost efficiency. For readmissions, the component score was calculated 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spacing w:after="0"/>
              <w:jc w:val="center"/>
            </w:pPr>
            <w:r>
              <w:rPr>
                <w:rFonts w:ascii="Cambria Math" w:cs="Cambria Math" w:eastAsia="Cambria Math" w:hAnsi="Cambria Math"/>
                <w:color w:val="262626"/>
                <w:sz w:val="21"/>
                <w:szCs w:val="21"/>
              </w:rPr>
              <w:t xml:space="preserve">Readmission Score = (1 − Worse-than-National Rate) × 100</w:t>
            </w:r>
          </w:p>
        </w:tc>
      </w:tr>
    </w:tbl>
    <w:p>
      <w:pPr>
        <w:spacing w:after="100"/>
      </w:pPr>
    </w:p>
    <w:p>
      <w:pPr>
        <w:spacing w:after="110" w:line="276"/>
      </w:pPr>
      <w:r>
        <w:rPr>
          <w:rFonts w:ascii="Calibri" w:cs="Calibri" w:eastAsia="Calibri" w:hAnsi="Calibri"/>
          <w:color w:val="262626"/>
          <w:sz w:val="21"/>
          <w:szCs w:val="21"/>
        </w:rPr>
        <w:t xml:space="preserve">Therefore, hospitals with no valid readmission measures classified as worse than the national rate receive a Readmission Score of 100.</w:t>
      </w:r>
    </w:p>
    <w:p>
      <w:pPr>
        <w:spacing w:after="110" w:line="276"/>
      </w:pPr>
      <w:r>
        <w:rPr>
          <w:rFonts w:ascii="Calibri" w:cs="Calibri" w:eastAsia="Calibri" w:hAnsi="Calibri"/>
          <w:color w:val="262626"/>
          <w:sz w:val="21"/>
          <w:szCs w:val="21"/>
        </w:rPr>
        <w:t xml:space="preserve">Quality, patient experience, and cost efficiency were converted to relative percentile-based scores among eligible hospitals. The four component scores were then combined using equal weighting: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80"/>
              <w:left w:type="dxa" w:w="120"/>
              <w:bottom w:type="dxa" w:w="80"/>
              <w:right w:type="dxa" w:w="120"/>
            </w:tcMar>
            <w:vAlign w:val="top"/>
          </w:tcPr>
          <w:p>
            <w:pPr>
              <w:spacing w:after="0"/>
              <w:jc w:val="center"/>
            </w:pPr>
            <w:r>
              <w:rPr>
                <w:rFonts w:ascii="Cambria Math" w:cs="Cambria Math" w:eastAsia="Cambria Math" w:hAnsi="Cambria Math"/>
                <w:color w:val="262626"/>
                <w:sz w:val="21"/>
                <w:szCs w:val="21"/>
              </w:rPr>
              <w:t xml:space="preserve">HVI = (Quality Score + Experience Score + Cost Score + Readmission Score) ÷ 4</w:t>
            </w:r>
          </w:p>
        </w:tc>
      </w:tr>
    </w:tbl>
    <w:p>
      <w:pPr>
        <w:spacing w:after="100"/>
      </w:pPr>
    </w:p>
    <w:p>
      <w:pPr>
        <w:spacing w:after="110" w:line="276"/>
      </w:pPr>
      <w:r>
        <w:rPr>
          <w:rFonts w:ascii="Calibri" w:cs="Calibri" w:eastAsia="Calibri" w:hAnsi="Calibri"/>
          <w:color w:val="262626"/>
          <w:sz w:val="21"/>
          <w:szCs w:val="21"/>
        </w:rPr>
        <w:t xml:space="preserve">Equal weighting was used as a transparent baseline because no external business priorities were provided to justify assigning greater importance to one performance dimension over another.</w:t>
      </w:r>
    </w:p>
    <w:p>
      <w:pPr>
        <w:spacing w:after="110" w:line="276"/>
      </w:pPr>
      <w:r>
        <w:rPr>
          <w:rFonts w:ascii="Calibri" w:cs="Calibri" w:eastAsia="Calibri" w:hAnsi="Calibri"/>
          <w:color w:val="262626"/>
          <w:sz w:val="21"/>
          <w:szCs w:val="21"/>
        </w:rPr>
        <w:t xml:space="preserve">To maintain comparability, the HVI was calculated only for hospitals with complete data across all four dimensions. Of the 5,432 hospitals in the broader dataset, </w:t>
      </w:r>
      <w:r>
        <w:rPr>
          <w:rFonts w:ascii="Calibri" w:cs="Calibri" w:eastAsia="Calibri" w:hAnsi="Calibri"/>
          <w:b/>
          <w:bCs/>
          <w:color w:val="262626"/>
          <w:sz w:val="21"/>
          <w:szCs w:val="21"/>
        </w:rPr>
        <w:t xml:space="preserve">2,110 hospitals had complete information required for the integrated index</w:t>
      </w:r>
      <w:r>
        <w:rPr>
          <w:rFonts w:ascii="Calibri" w:cs="Calibri" w:eastAsia="Calibri" w:hAnsi="Calibri"/>
          <w:color w:val="262626"/>
          <w:sz w:val="21"/>
          <w:szCs w:val="21"/>
        </w:rPr>
        <w:t xml:space="preserve">.</w:t>
      </w:r>
    </w:p>
    <w:p>
      <w:pPr>
        <w:spacing w:after="110" w:line="276"/>
      </w:pPr>
      <w:r>
        <w:rPr>
          <w:rFonts w:ascii="Calibri" w:cs="Calibri" w:eastAsia="Calibri" w:hAnsi="Calibri"/>
          <w:color w:val="262626"/>
          <w:sz w:val="21"/>
          <w:szCs w:val="21"/>
        </w:rPr>
        <w:t xml:space="preserve">The HVI is an exploratory analytical framework developed for this project and should not be interpreted as an official CMS hospital rating or value measure.</w:t>
      </w:r>
    </w:p>
    <w:p>
      <w:pPr>
        <w:pStyle w:val="Heading3"/>
        <w:keepNext/>
        <w:spacing w:after="60" w:before="180"/>
      </w:pPr>
      <w:r>
        <w:rPr>
          <w:rFonts w:ascii="Calibri" w:cs="Calibri" w:eastAsia="Calibri" w:hAnsi="Calibri"/>
          <w:b/>
          <w:bCs/>
          <w:color w:val="1F4E79"/>
          <w:spacing w:val="30"/>
          <w:sz w:val="18"/>
          <w:szCs w:val="18"/>
        </w:rPr>
        <w:t xml:space="preserve">MARKET OPPORTUNITY</w:t>
      </w:r>
    </w:p>
    <w:p>
      <w:pPr>
        <w:spacing w:after="110" w:line="276"/>
      </w:pPr>
      <w:r>
        <w:rPr>
          <w:rFonts w:ascii="Calibri" w:cs="Calibri" w:eastAsia="Calibri" w:hAnsi="Calibri"/>
          <w:color w:val="262626"/>
          <w:sz w:val="21"/>
          <w:szCs w:val="21"/>
        </w:rPr>
        <w:t xml:space="preserve">Expansion opportunity was evaluated separately at the county level using population and hospital availability.</w:t>
      </w:r>
    </w:p>
    <w:p>
      <w:pPr>
        <w:spacing w:after="110" w:line="276"/>
      </w:pPr>
      <w:r>
        <w:rPr>
          <w:rFonts w:ascii="Calibri" w:cs="Calibri" w:eastAsia="Calibri" w:hAnsi="Calibri"/>
          <w:color w:val="262626"/>
          <w:sz w:val="21"/>
          <w:szCs w:val="21"/>
        </w:rPr>
        <w:t xml:space="preserve">A county was classified as a </w:t>
      </w:r>
      <w:r>
        <w:rPr>
          <w:rFonts w:ascii="Calibri" w:cs="Calibri" w:eastAsia="Calibri" w:hAnsi="Calibri"/>
          <w:b/>
          <w:bCs/>
          <w:color w:val="262626"/>
          <w:sz w:val="21"/>
          <w:szCs w:val="21"/>
        </w:rPr>
        <w:t xml:space="preserve">Potential Access Gap</w:t>
      </w:r>
      <w:r>
        <w:rPr>
          <w:rFonts w:ascii="Calibri" w:cs="Calibri" w:eastAsia="Calibri" w:hAnsi="Calibri"/>
          <w:color w:val="262626"/>
          <w:sz w:val="21"/>
          <w:szCs w:val="21"/>
        </w:rPr>
        <w:t xml:space="preserve"> when it had:</w:t>
      </w:r>
    </w:p>
    <w:p>
      <w:pPr>
        <w:pStyle w:val="ListParagraph"/>
        <w:numPr>
          <w:ilvl w:val="0"/>
          <w:numId w:val="2"/>
        </w:numPr>
        <w:spacing w:after="60" w:line="269"/>
      </w:pPr>
      <w:r>
        <w:rPr>
          <w:rFonts w:ascii="Calibri" w:cs="Calibri" w:eastAsia="Calibri" w:hAnsi="Calibri"/>
          <w:color w:val="262626"/>
          <w:sz w:val="21"/>
          <w:szCs w:val="21"/>
        </w:rPr>
        <w:t xml:space="preserve">population above the national county median, and</w:t>
      </w:r>
    </w:p>
    <w:p>
      <w:pPr>
        <w:pStyle w:val="ListParagraph"/>
        <w:numPr>
          <w:ilvl w:val="0"/>
          <w:numId w:val="2"/>
        </w:numPr>
        <w:spacing w:after="60" w:line="269"/>
      </w:pPr>
      <w:r>
        <w:rPr>
          <w:rFonts w:ascii="Calibri" w:cs="Calibri" w:eastAsia="Calibri" w:hAnsi="Calibri"/>
          <w:color w:val="262626"/>
          <w:sz w:val="21"/>
          <w:szCs w:val="21"/>
        </w:rPr>
        <w:t xml:space="preserve">hospitals per 100,000 residents below the national county median.</w:t>
      </w:r>
    </w:p>
    <w:p>
      <w:pPr>
        <w:spacing w:after="110" w:line="276"/>
      </w:pPr>
      <w:r>
        <w:rPr>
          <w:rFonts w:ascii="Calibri" w:cs="Calibri" w:eastAsia="Calibri" w:hAnsi="Calibri"/>
          <w:color w:val="262626"/>
          <w:sz w:val="21"/>
          <w:szCs w:val="21"/>
        </w:rPr>
        <w:t xml:space="preserve">Among these counties, population was used to identify the largest potential markets for further evaluation.</w:t>
      </w:r>
    </w:p>
    <w:p>
      <w:pPr>
        <w:spacing w:after="110" w:line="276"/>
      </w:pPr>
      <w:r>
        <w:rPr>
          <w:rFonts w:ascii="Calibri" w:cs="Calibri" w:eastAsia="Calibri" w:hAnsi="Calibri"/>
          <w:color w:val="262626"/>
          <w:sz w:val="21"/>
          <w:szCs w:val="21"/>
        </w:rPr>
        <w:t xml:space="preserve">This classification is intended as a market-screening mechanism rather than an official determination of healthcare shortage or the need for additional hospital capacity.</w:t>
      </w:r>
    </w:p>
    <w:p>
      <w:pPr>
        <w:pStyle w:val="Heading3"/>
        <w:keepNext/>
        <w:spacing w:after="60" w:before="180"/>
      </w:pPr>
      <w:r>
        <w:rPr>
          <w:rFonts w:ascii="Calibri" w:cs="Calibri" w:eastAsia="Calibri" w:hAnsi="Calibri"/>
          <w:b/>
          <w:bCs/>
          <w:color w:val="1F4E79"/>
          <w:spacing w:val="30"/>
          <w:sz w:val="18"/>
          <w:szCs w:val="18"/>
        </w:rPr>
        <w:t xml:space="preserve">KEY FINDINGS</w:t>
      </w:r>
    </w:p>
    <w:p>
      <w:pPr>
        <w:keepNext/>
        <w:spacing w:after="70" w:before="140" w:line="276"/>
      </w:pPr>
      <w:r>
        <w:rPr>
          <w:rFonts w:ascii="Calibri" w:cs="Calibri" w:eastAsia="Calibri" w:hAnsi="Calibri"/>
          <w:b/>
          <w:bCs/>
          <w:color w:val="1F4E79"/>
          <w:sz w:val="22"/>
          <w:szCs w:val="22"/>
        </w:rPr>
        <w:t xml:space="preserve">1. Several hospitals demonstrate strong performance across all four value dimensions</w:t>
      </w:r>
    </w:p>
    <w:p>
      <w:pPr>
        <w:spacing w:after="110" w:line="276"/>
      </w:pPr>
      <w:r>
        <w:rPr>
          <w:rFonts w:ascii="Calibri" w:cs="Calibri" w:eastAsia="Calibri" w:hAnsi="Calibri"/>
          <w:color w:val="262626"/>
          <w:sz w:val="21"/>
          <w:szCs w:val="21"/>
        </w:rPr>
        <w:t xml:space="preserve">The integrated Hospital Value Index identified a group of hospitals with consistently strong performance across quality, patient experience, Medicare spending, and readmission outcomes.</w:t>
      </w:r>
    </w:p>
    <w:p>
      <w:pPr>
        <w:spacing w:after="110" w:line="276"/>
      </w:pPr>
      <w:r>
        <w:rPr>
          <w:rFonts w:ascii="Calibri" w:cs="Calibri" w:eastAsia="Calibri" w:hAnsi="Calibri"/>
          <w:b/>
          <w:bCs/>
          <w:color w:val="262626"/>
          <w:sz w:val="21"/>
          <w:szCs w:val="21"/>
        </w:rPr>
        <w:t xml:space="preserve">Chickasaw Nation Medical Center</w:t>
      </w:r>
      <w:r>
        <w:rPr>
          <w:rFonts w:ascii="Calibri" w:cs="Calibri" w:eastAsia="Calibri" w:hAnsi="Calibri"/>
          <w:color w:val="262626"/>
          <w:sz w:val="21"/>
          <w:szCs w:val="21"/>
        </w:rPr>
        <w:t xml:space="preserve"> had the highest observed HVI in the eligible sample, with an index of approximately </w:t>
      </w:r>
      <w:r>
        <w:rPr>
          <w:rFonts w:ascii="Calibri" w:cs="Calibri" w:eastAsia="Calibri" w:hAnsi="Calibri"/>
          <w:b/>
          <w:bCs/>
          <w:color w:val="262626"/>
          <w:sz w:val="21"/>
          <w:szCs w:val="21"/>
        </w:rPr>
        <w:t xml:space="preserve">98.2</w:t>
      </w:r>
      <w:r>
        <w:rPr>
          <w:rFonts w:ascii="Calibri" w:cs="Calibri" w:eastAsia="Calibri" w:hAnsi="Calibri"/>
          <w:color w:val="262626"/>
          <w:sz w:val="21"/>
          <w:szCs w:val="21"/>
        </w:rPr>
        <w:t xml:space="preserve">. It combined a 5-star overall rating, an 86% patient recommendation rate, an MSPB score of 0.73, and no valid evaluated readmission measures classified as worse than the national rate.</w:t>
      </w:r>
    </w:p>
    <w:p>
      <w:pPr>
        <w:spacing w:after="110" w:line="276"/>
      </w:pPr>
      <w:r>
        <w:rPr>
          <w:rFonts w:ascii="Calibri" w:cs="Calibri" w:eastAsia="Calibri" w:hAnsi="Calibri"/>
          <w:color w:val="262626"/>
          <w:sz w:val="21"/>
          <w:szCs w:val="21"/>
        </w:rPr>
        <w:t xml:space="preserve">Other hospitals with high observed HVI values included </w:t>
      </w:r>
      <w:r>
        <w:rPr>
          <w:rFonts w:ascii="Calibri" w:cs="Calibri" w:eastAsia="Calibri" w:hAnsi="Calibri"/>
          <w:b/>
          <w:bCs/>
          <w:color w:val="262626"/>
          <w:sz w:val="21"/>
          <w:szCs w:val="21"/>
        </w:rPr>
        <w:t xml:space="preserve">AdventHealth Murray, Northeast Georgia Medical Center Lumpkin, Crystal Clinic Orthopaedic Center, Sauk Prairie Hospital, St Johns Medical Center, Baylor Scott &amp; White Texas Spine &amp; Joint Hospital, and St John Owasso</w:t>
      </w:r>
      <w:r>
        <w:rPr>
          <w:rFonts w:ascii="Calibri" w:cs="Calibri" w:eastAsia="Calibri" w:hAnsi="Calibri"/>
          <w:color w:val="262626"/>
          <w:sz w:val="21"/>
          <w:szCs w:val="21"/>
        </w:rPr>
        <w:t xml:space="preserve">.</w:t>
      </w:r>
    </w:p>
    <w:p>
      <w:pPr>
        <w:spacing w:after="110" w:line="276"/>
      </w:pPr>
      <w:r>
        <w:rPr>
          <w:rFonts w:ascii="Calibri" w:cs="Calibri" w:eastAsia="Calibri" w:hAnsi="Calibri"/>
          <w:color w:val="262626"/>
          <w:sz w:val="21"/>
          <w:szCs w:val="21"/>
        </w:rPr>
        <w:t xml:space="preserve">The component-profile view provides additional context behind these overall scores. Rather than treating the HVI as a standalone ranking, users can select an individual hospital and examine its quality, patient experience, cost efficiency, and readmission component scores separately.</w:t>
      </w:r>
    </w:p>
    <w:p>
      <w:pPr>
        <w:keepNext/>
        <w:spacing w:after="70" w:before="140" w:line="276"/>
      </w:pPr>
      <w:r>
        <w:rPr>
          <w:rFonts w:ascii="Calibri" w:cs="Calibri" w:eastAsia="Calibri" w:hAnsi="Calibri"/>
          <w:b/>
          <w:bCs/>
          <w:color w:val="1F4E79"/>
          <w:sz w:val="22"/>
          <w:szCs w:val="22"/>
        </w:rPr>
        <w:t xml:space="preserve">2. Strong overall value requires performance across multiple dimensions</w:t>
      </w:r>
    </w:p>
    <w:p>
      <w:pPr>
        <w:spacing w:after="110" w:line="276"/>
      </w:pPr>
      <w:r>
        <w:rPr>
          <w:rFonts w:ascii="Calibri" w:cs="Calibri" w:eastAsia="Calibri" w:hAnsi="Calibri"/>
          <w:color w:val="262626"/>
          <w:sz w:val="21"/>
          <w:szCs w:val="21"/>
        </w:rPr>
        <w:t xml:space="preserve">The results illustrate why evaluating hospitals using a single metric can provide an incomplete picture.</w:t>
      </w:r>
    </w:p>
    <w:p>
      <w:pPr>
        <w:spacing w:after="110" w:line="276"/>
      </w:pPr>
      <w:r>
        <w:rPr>
          <w:rFonts w:ascii="Calibri" w:cs="Calibri" w:eastAsia="Calibri" w:hAnsi="Calibri"/>
          <w:color w:val="262626"/>
          <w:sz w:val="21"/>
          <w:szCs w:val="21"/>
        </w:rPr>
        <w:t xml:space="preserve">For example, a hospital may receive a high CMS quality rating while having relatively higher Medicare spending, or it may achieve strong patient recommendation scores while showing unfavorable readmission classifications. The HVI therefore provides a comparative framework for identifying hospitals that perform strongly across several dimensions simultaneously.</w:t>
      </w:r>
    </w:p>
    <w:p>
      <w:pPr>
        <w:spacing w:after="110" w:line="276"/>
      </w:pPr>
      <w:r>
        <w:rPr>
          <w:rFonts w:ascii="Calibri" w:cs="Calibri" w:eastAsia="Calibri" w:hAnsi="Calibri"/>
          <w:color w:val="262626"/>
          <w:sz w:val="21"/>
          <w:szCs w:val="21"/>
        </w:rPr>
        <w:t xml:space="preserve">At the same time, the component profile preserves the underlying multidimensional information so that a high or low composite score can be investigated rather than accepted as a black-box result.</w:t>
      </w:r>
    </w:p>
    <w:p>
      <w:pPr>
        <w:keepNext/>
        <w:spacing w:after="70" w:before="140" w:line="276"/>
      </w:pPr>
      <w:r>
        <w:rPr>
          <w:rFonts w:ascii="Calibri" w:cs="Calibri" w:eastAsia="Calibri" w:hAnsi="Calibri"/>
          <w:b/>
          <w:bCs/>
          <w:color w:val="1F4E79"/>
          <w:sz w:val="22"/>
          <w:szCs w:val="22"/>
        </w:rPr>
        <w:t xml:space="preserve">3. Readmission performance provides less differentiation than the other HVI components</w:t>
      </w:r>
    </w:p>
    <w:p>
      <w:pPr>
        <w:spacing w:after="110" w:line="276"/>
      </w:pPr>
      <w:r>
        <w:rPr>
          <w:rFonts w:ascii="Calibri" w:cs="Calibri" w:eastAsia="Calibri" w:hAnsi="Calibri"/>
          <w:color w:val="262626"/>
          <w:sz w:val="21"/>
          <w:szCs w:val="21"/>
        </w:rPr>
        <w:t xml:space="preserve">Readmission performance showed substantially less variation across eligible hospitals than quality, patient experience, and cost efficiency. Most hospitals had no valid readmission measures classified as worse than the national rate and therefore received a Readmission Score of 100.</w:t>
      </w:r>
    </w:p>
    <w:p>
      <w:pPr>
        <w:spacing w:after="110" w:line="276"/>
      </w:pPr>
      <w:r>
        <w:rPr>
          <w:rFonts w:ascii="Calibri" w:cs="Calibri" w:eastAsia="Calibri" w:hAnsi="Calibri"/>
          <w:color w:val="262626"/>
          <w:sz w:val="21"/>
          <w:szCs w:val="21"/>
        </w:rPr>
        <w:t xml:space="preserve">As a result, the readmission component primarily functions as an </w:t>
      </w:r>
      <w:r>
        <w:rPr>
          <w:rFonts w:ascii="Calibri" w:cs="Calibri" w:eastAsia="Calibri" w:hAnsi="Calibri"/>
          <w:b/>
          <w:bCs/>
          <w:color w:val="262626"/>
          <w:sz w:val="21"/>
          <w:szCs w:val="21"/>
        </w:rPr>
        <w:t xml:space="preserve">adverse-performance signal</w:t>
      </w:r>
      <w:r>
        <w:rPr>
          <w:rFonts w:ascii="Calibri" w:cs="Calibri" w:eastAsia="Calibri" w:hAnsi="Calibri"/>
          <w:color w:val="262626"/>
          <w:sz w:val="21"/>
          <w:szCs w:val="21"/>
        </w:rPr>
        <w:t xml:space="preserve">: it reduces the HVI for hospitals exhibiting worse-than-national readmission classifications but provides relatively little differentiation among hospitals without such classifications.</w:t>
      </w:r>
    </w:p>
    <w:p>
      <w:pPr>
        <w:spacing w:after="110" w:line="276"/>
      </w:pPr>
      <w:r>
        <w:rPr>
          <w:rFonts w:ascii="Calibri" w:cs="Calibri" w:eastAsia="Calibri" w:hAnsi="Calibri"/>
          <w:color w:val="262626"/>
          <w:sz w:val="21"/>
          <w:szCs w:val="21"/>
        </w:rPr>
        <w:t xml:space="preserve">Quality, patient experience, and cost efficiency therefore account for more of the observed variation among hospitals with otherwise favorable readmission performance.</w:t>
      </w:r>
    </w:p>
    <w:p>
      <w:pPr>
        <w:keepNext/>
        <w:spacing w:after="70" w:before="140" w:line="276"/>
      </w:pPr>
      <w:r>
        <w:rPr>
          <w:rFonts w:ascii="Calibri" w:cs="Calibri" w:eastAsia="Calibri" w:hAnsi="Calibri"/>
          <w:b/>
          <w:bCs/>
          <w:color w:val="1F4E79"/>
          <w:sz w:val="22"/>
          <w:szCs w:val="22"/>
        </w:rPr>
        <w:t xml:space="preserve">4. Large metropolitan counties emerge as potential markets for further expansion analysis</w:t>
      </w:r>
    </w:p>
    <w:p>
      <w:pPr>
        <w:spacing w:after="110" w:line="276"/>
      </w:pPr>
      <w:r>
        <w:rPr>
          <w:rFonts w:ascii="Calibri" w:cs="Calibri" w:eastAsia="Calibri" w:hAnsi="Calibri"/>
          <w:color w:val="262626"/>
          <w:sz w:val="21"/>
          <w:szCs w:val="21"/>
        </w:rPr>
        <w:t xml:space="preserve">The geographic component of the analysis identified several large counties that combine substantial population with comparatively low hospital availability under the project’s screening criteria.</w:t>
      </w:r>
    </w:p>
    <w:p>
      <w:pPr>
        <w:spacing w:after="110" w:line="276"/>
      </w:pPr>
      <w:r>
        <w:rPr>
          <w:rFonts w:ascii="Calibri" w:cs="Calibri" w:eastAsia="Calibri" w:hAnsi="Calibri"/>
          <w:b/>
          <w:bCs/>
          <w:color w:val="262626"/>
          <w:sz w:val="21"/>
          <w:szCs w:val="21"/>
        </w:rPr>
        <w:t xml:space="preserve">Los Angeles County, California</w:t>
      </w:r>
      <w:r>
        <w:rPr>
          <w:rFonts w:ascii="Calibri" w:cs="Calibri" w:eastAsia="Calibri" w:hAnsi="Calibri"/>
          <w:color w:val="262626"/>
          <w:sz w:val="21"/>
          <w:szCs w:val="21"/>
        </w:rPr>
        <w:t xml:space="preserve"> had the largest population among counties classified as Potential Access Gaps. Other major markets included </w:t>
      </w:r>
      <w:r>
        <w:rPr>
          <w:rFonts w:ascii="Calibri" w:cs="Calibri" w:eastAsia="Calibri" w:hAnsi="Calibri"/>
          <w:b/>
          <w:bCs/>
          <w:color w:val="262626"/>
          <w:sz w:val="21"/>
          <w:szCs w:val="21"/>
        </w:rPr>
        <w:t xml:space="preserve">Cook County, Illinois; Harris County, Texas; Maricopa County, Arizona; San Diego County, California; Orange County, California; Miami-Dade County, Florida; and Dallas County, Texas.</w:t>
      </w:r>
    </w:p>
    <w:p>
      <w:pPr>
        <w:spacing w:after="110" w:line="276"/>
      </w:pPr>
      <w:r>
        <w:rPr>
          <w:rFonts w:ascii="Calibri" w:cs="Calibri" w:eastAsia="Calibri" w:hAnsi="Calibri"/>
          <w:color w:val="262626"/>
          <w:sz w:val="21"/>
          <w:szCs w:val="21"/>
        </w:rPr>
        <w:t xml:space="preserve">These results do not establish that these counties require new hospitals. Instead, they identify large markets where population demand and relative hospital availability suggest that additional capacity analysis may be warranted.</w:t>
      </w:r>
    </w:p>
    <w:p>
      <w:pPr>
        <w:pStyle w:val="Heading3"/>
        <w:keepNext/>
        <w:spacing w:after="60" w:before="180"/>
      </w:pPr>
      <w:r>
        <w:rPr>
          <w:rFonts w:ascii="Calibri" w:cs="Calibri" w:eastAsia="Calibri" w:hAnsi="Calibri"/>
          <w:b/>
          <w:bCs/>
          <w:color w:val="1F4E79"/>
          <w:spacing w:val="30"/>
          <w:sz w:val="18"/>
          <w:szCs w:val="18"/>
        </w:rPr>
        <w:t xml:space="preserve">INTERPRETATION AND STRATEGIC IMPLICATIONS</w:t>
      </w:r>
    </w:p>
    <w:p>
      <w:pPr>
        <w:spacing w:after="110" w:line="276"/>
      </w:pPr>
      <w:r>
        <w:rPr>
          <w:rFonts w:ascii="Calibri" w:cs="Calibri" w:eastAsia="Calibri" w:hAnsi="Calibri"/>
          <w:color w:val="262626"/>
          <w:sz w:val="21"/>
          <w:szCs w:val="21"/>
        </w:rPr>
        <w:t xml:space="preserve">The integrated analysis supports two complementary forms of healthcare business decision-making.</w:t>
      </w:r>
    </w:p>
    <w:p>
      <w:pPr>
        <w:spacing w:after="110" w:line="276"/>
      </w:pPr>
      <w:r>
        <w:rPr>
          <w:rFonts w:ascii="Calibri" w:cs="Calibri" w:eastAsia="Calibri" w:hAnsi="Calibri"/>
          <w:color w:val="262626"/>
          <w:sz w:val="21"/>
          <w:szCs w:val="21"/>
        </w:rPr>
        <w:t xml:space="preserve">At the </w:t>
      </w:r>
      <w:r>
        <w:rPr>
          <w:rFonts w:ascii="Calibri" w:cs="Calibri" w:eastAsia="Calibri" w:hAnsi="Calibri"/>
          <w:b/>
          <w:bCs/>
          <w:color w:val="262626"/>
          <w:sz w:val="21"/>
          <w:szCs w:val="21"/>
        </w:rPr>
        <w:t xml:space="preserve">hospital level</w:t>
      </w:r>
      <w:r>
        <w:rPr>
          <w:rFonts w:ascii="Calibri" w:cs="Calibri" w:eastAsia="Calibri" w:hAnsi="Calibri"/>
          <w:color w:val="262626"/>
          <w:sz w:val="21"/>
          <w:szCs w:val="21"/>
        </w:rPr>
        <w:t xml:space="preserve">, the HVI provides a screening framework for identifying organizations that demonstrate strong combined performance across quality, patient experience, spending, and readmission outcomes. High-performing hospitals can serve as candidates for deeper benchmarking to understand which operational practices may contribute to their performance.</w:t>
      </w:r>
    </w:p>
    <w:p>
      <w:pPr>
        <w:spacing w:after="110" w:line="276"/>
      </w:pPr>
      <w:r>
        <w:rPr>
          <w:rFonts w:ascii="Calibri" w:cs="Calibri" w:eastAsia="Calibri" w:hAnsi="Calibri"/>
          <w:color w:val="262626"/>
          <w:sz w:val="21"/>
          <w:szCs w:val="21"/>
        </w:rPr>
        <w:t xml:space="preserve">The same framework can also support operational improvement analysis. Rather than focusing exclusively on the overall HVI, organizations can examine individual component scores to identify whether weaker performance is concentrated in quality, patient experience, cost efficiency, or readmissions.</w:t>
      </w:r>
    </w:p>
    <w:p>
      <w:pPr>
        <w:spacing w:after="110" w:line="276"/>
      </w:pPr>
      <w:r>
        <w:rPr>
          <w:rFonts w:ascii="Calibri" w:cs="Calibri" w:eastAsia="Calibri" w:hAnsi="Calibri"/>
          <w:color w:val="262626"/>
          <w:sz w:val="21"/>
          <w:szCs w:val="21"/>
        </w:rPr>
        <w:t xml:space="preserve">At the </w:t>
      </w:r>
      <w:r>
        <w:rPr>
          <w:rFonts w:ascii="Calibri" w:cs="Calibri" w:eastAsia="Calibri" w:hAnsi="Calibri"/>
          <w:b/>
          <w:bCs/>
          <w:color w:val="262626"/>
          <w:sz w:val="21"/>
          <w:szCs w:val="21"/>
        </w:rPr>
        <w:t xml:space="preserve">market level</w:t>
      </w:r>
      <w:r>
        <w:rPr>
          <w:rFonts w:ascii="Calibri" w:cs="Calibri" w:eastAsia="Calibri" w:hAnsi="Calibri"/>
          <w:color w:val="262626"/>
          <w:sz w:val="21"/>
          <w:szCs w:val="21"/>
        </w:rPr>
        <w:t xml:space="preserve">, Potential Access Gap counties provide an initial set of geographic markets for further expansion assessment. Large populations combined with relatively low hospital availability may indicate opportunities for additional healthcare infrastructure, outpatient services, partnerships, or other forms of capacity expansion.</w:t>
      </w:r>
    </w:p>
    <w:p>
      <w:pPr>
        <w:spacing w:after="110" w:line="276"/>
      </w:pPr>
      <w:r>
        <w:rPr>
          <w:rFonts w:ascii="Calibri" w:cs="Calibri" w:eastAsia="Calibri" w:hAnsi="Calibri"/>
          <w:color w:val="262626"/>
          <w:sz w:val="21"/>
          <w:szCs w:val="21"/>
        </w:rPr>
        <w:t xml:space="preserve">Importantly, hospital performance and market opportunity should not be interpreted as the same decision problem. A strong-performing hospital is not automatically located in an attractive expansion market, and a county identified as a potential access gap does not automatically justify construction of a new hospital. The two analyses provide complementary inputs for strategic planning.</w:t>
      </w:r>
    </w:p>
    <w:p>
      <w:pPr>
        <w:pStyle w:val="Heading3"/>
        <w:keepNext/>
        <w:spacing w:after="60" w:before="180"/>
      </w:pPr>
      <w:r>
        <w:rPr>
          <w:rFonts w:ascii="Calibri" w:cs="Calibri" w:eastAsia="Calibri" w:hAnsi="Calibri"/>
          <w:b/>
          <w:bCs/>
          <w:color w:val="1F4E79"/>
          <w:spacing w:val="30"/>
          <w:sz w:val="18"/>
          <w:szCs w:val="18"/>
        </w:rPr>
        <w:t xml:space="preserve">LIMITATIONS</w:t>
      </w:r>
    </w:p>
    <w:p>
      <w:pPr>
        <w:spacing w:after="110" w:line="276"/>
      </w:pPr>
      <w:r>
        <w:rPr>
          <w:rFonts w:ascii="Calibri" w:cs="Calibri" w:eastAsia="Calibri" w:hAnsi="Calibri"/>
          <w:color w:val="262626"/>
          <w:sz w:val="21"/>
          <w:szCs w:val="21"/>
        </w:rPr>
        <w:t xml:space="preserve">Several limitations should be considered when interpreting the integrated results.</w:t>
      </w:r>
    </w:p>
    <w:p>
      <w:pPr>
        <w:spacing w:after="110" w:line="276"/>
      </w:pPr>
      <w:r>
        <w:rPr>
          <w:rFonts w:ascii="Calibri" w:cs="Calibri" w:eastAsia="Calibri" w:hAnsi="Calibri"/>
          <w:color w:val="262626"/>
          <w:sz w:val="21"/>
          <w:szCs w:val="21"/>
        </w:rPr>
        <w:t xml:space="preserve">First, the Hospital Value Index is an analyst-defined composite measure rather than an established CMS metric. Equal weighting was selected for transparency, but alternative organizational priorities could justify different weights and therefore produce different results.</w:t>
      </w:r>
    </w:p>
    <w:p>
      <w:pPr>
        <w:spacing w:after="110" w:line="276"/>
      </w:pPr>
      <w:r>
        <w:rPr>
          <w:rFonts w:ascii="Calibri" w:cs="Calibri" w:eastAsia="Calibri" w:hAnsi="Calibri"/>
          <w:color w:val="262626"/>
          <w:sz w:val="21"/>
          <w:szCs w:val="21"/>
        </w:rPr>
        <w:t xml:space="preserve">Second, only </w:t>
      </w:r>
      <w:r>
        <w:rPr>
          <w:rFonts w:ascii="Calibri" w:cs="Calibri" w:eastAsia="Calibri" w:hAnsi="Calibri"/>
          <w:b/>
          <w:bCs/>
          <w:color w:val="262626"/>
          <w:sz w:val="21"/>
          <w:szCs w:val="21"/>
        </w:rPr>
        <w:t xml:space="preserve">2,110 hospitals with complete data across all four performance dimensions</w:t>
      </w:r>
      <w:r>
        <w:rPr>
          <w:rFonts w:ascii="Calibri" w:cs="Calibri" w:eastAsia="Calibri" w:hAnsi="Calibri"/>
          <w:color w:val="262626"/>
          <w:sz w:val="21"/>
          <w:szCs w:val="21"/>
        </w:rPr>
        <w:t xml:space="preserve"> were included in the HVI. Hospitals excluded because of missing data should not be interpreted as lower-performing hospitals. MSPB availability in particular substantially reduced the eligible sample.</w:t>
      </w:r>
    </w:p>
    <w:p>
      <w:pPr>
        <w:spacing w:after="110" w:line="276"/>
      </w:pPr>
      <w:r>
        <w:rPr>
          <w:rFonts w:ascii="Calibri" w:cs="Calibri" w:eastAsia="Calibri" w:hAnsi="Calibri"/>
          <w:color w:val="262626"/>
          <w:sz w:val="21"/>
          <w:szCs w:val="21"/>
        </w:rPr>
        <w:t xml:space="preserve">Third, percentile-based component scores measure performance relative to the eligible hospital sample rather than absolute clinical performance. An HVI of 90, for example, should not be interpreted as a hospital being “90% good.”</w:t>
      </w:r>
    </w:p>
    <w:p>
      <w:pPr>
        <w:spacing w:after="110" w:line="276"/>
      </w:pPr>
      <w:r>
        <w:rPr>
          <w:rFonts w:ascii="Calibri" w:cs="Calibri" w:eastAsia="Calibri" w:hAnsi="Calibri"/>
          <w:color w:val="262626"/>
          <w:sz w:val="21"/>
          <w:szCs w:val="21"/>
        </w:rPr>
        <w:t xml:space="preserve">Fourth, the readmission component has limited variation because most eligible hospitals have no measures classified as worse than the national rate. Consequently, it operates primarily as a penalty for adverse readmission signals rather than as a highly discriminating performance measure.</w:t>
      </w:r>
    </w:p>
    <w:p>
      <w:pPr>
        <w:spacing w:after="110" w:line="276"/>
      </w:pPr>
      <w:r>
        <w:rPr>
          <w:rFonts w:ascii="Calibri" w:cs="Calibri" w:eastAsia="Calibri" w:hAnsi="Calibri"/>
          <w:color w:val="262626"/>
          <w:sz w:val="21"/>
          <w:szCs w:val="21"/>
        </w:rPr>
        <w:t xml:space="preserve">Finally, the market-access analysis uses hospital counts relative to population as a proxy for healthcare availability. It does not account for hospital beds, staffing, occupancy, service capacity, patient utilization, travel distance, competing healthcare facilities, or patient movement across county boundaries. The Potential Access Gap designation should therefore be treated as a screening indicator rather than an official shortage designation.</w:t>
      </w:r>
    </w:p>
    <w:p>
      <w:pPr>
        <w:pStyle w:val="Heading1"/>
        <w:keepNext/>
        <w:pBdr>
          <w:bottom w:val="single" w:color="1F4E79" w:sz="8" w:space="2"/>
        </w:pBdr>
        <w:spacing w:after="140" w:before="360"/>
      </w:pPr>
      <w:r>
        <w:rPr>
          <w:rFonts w:ascii="Calibri" w:cs="Calibri" w:eastAsia="Calibri" w:hAnsi="Calibri"/>
          <w:b/>
          <w:bCs/>
          <w:color w:val="1F4E79"/>
          <w:sz w:val="30"/>
          <w:szCs w:val="30"/>
        </w:rPr>
        <w:t xml:space="preserve">6. Final Business Takeaway</w:t>
      </w:r>
    </w:p>
    <w:p>
      <w:pPr>
        <w:spacing w:after="110" w:line="276"/>
      </w:pPr>
      <w:r>
        <w:rPr>
          <w:rFonts w:ascii="Calibri" w:cs="Calibri" w:eastAsia="Calibri" w:hAnsi="Calibri"/>
          <w:color w:val="262626"/>
          <w:sz w:val="21"/>
          <w:szCs w:val="21"/>
        </w:rPr>
        <w:t xml:space="preserve">The final analysis integrates hospital performance and geographic market opportunity into a single strategic decision-support framework.</w:t>
      </w:r>
    </w:p>
    <w:p>
      <w:pPr>
        <w:spacing w:after="110" w:line="276"/>
      </w:pPr>
      <w:r>
        <w:rPr>
          <w:rFonts w:ascii="Calibri" w:cs="Calibri" w:eastAsia="Calibri" w:hAnsi="Calibri"/>
          <w:color w:val="262626"/>
          <w:sz w:val="21"/>
          <w:szCs w:val="21"/>
        </w:rPr>
        <w:t xml:space="preserve">Among hospitals with complete data, the strongest observed HVI performers combine </w:t>
      </w:r>
      <w:r>
        <w:rPr>
          <w:rFonts w:ascii="Calibri" w:cs="Calibri" w:eastAsia="Calibri" w:hAnsi="Calibri"/>
          <w:b/>
          <w:bCs/>
          <w:color w:val="262626"/>
          <w:sz w:val="21"/>
          <w:szCs w:val="21"/>
        </w:rPr>
        <w:t xml:space="preserve">high overall quality, strong patient recommendation, relatively low Medicare spending, and favorable readmission performance</w:t>
      </w:r>
      <w:r>
        <w:rPr>
          <w:rFonts w:ascii="Calibri" w:cs="Calibri" w:eastAsia="Calibri" w:hAnsi="Calibri"/>
          <w:color w:val="262626"/>
          <w:sz w:val="21"/>
          <w:szCs w:val="21"/>
        </w:rPr>
        <w:t xml:space="preserve">. Rather than relying solely on the composite index, the interactive component profile allows decision-makers to examine the individual drivers behind each hospital’s performance.</w:t>
      </w:r>
    </w:p>
    <w:p>
      <w:pPr>
        <w:spacing w:after="110" w:line="276"/>
      </w:pPr>
      <w:r>
        <w:rPr>
          <w:rFonts w:ascii="Calibri" w:cs="Calibri" w:eastAsia="Calibri" w:hAnsi="Calibri"/>
          <w:color w:val="262626"/>
          <w:sz w:val="21"/>
          <w:szCs w:val="21"/>
        </w:rPr>
        <w:t xml:space="preserve">At the geographic level, large counties with above-median populations and below-median hospital availability—including major markets such as </w:t>
      </w:r>
      <w:r>
        <w:rPr>
          <w:rFonts w:ascii="Calibri" w:cs="Calibri" w:eastAsia="Calibri" w:hAnsi="Calibri"/>
          <w:b/>
          <w:bCs/>
          <w:color w:val="262626"/>
          <w:sz w:val="21"/>
          <w:szCs w:val="21"/>
        </w:rPr>
        <w:t xml:space="preserve">Los Angeles, Cook, Harris, and Maricopa counties</w:t>
      </w:r>
      <w:r>
        <w:rPr>
          <w:rFonts w:ascii="Calibri" w:cs="Calibri" w:eastAsia="Calibri" w:hAnsi="Calibri"/>
          <w:color w:val="262626"/>
          <w:sz w:val="21"/>
          <w:szCs w:val="21"/>
        </w:rPr>
        <w:t xml:space="preserve">—represent candidates for deeper expansion and capacity analysis.</w:t>
      </w:r>
    </w:p>
    <w:p>
      <w:pPr>
        <w:spacing w:after="110" w:line="276"/>
      </w:pPr>
      <w:r>
        <w:rPr>
          <w:rFonts w:ascii="Calibri" w:cs="Calibri" w:eastAsia="Calibri" w:hAnsi="Calibri"/>
          <w:color w:val="262626"/>
          <w:sz w:val="21"/>
          <w:szCs w:val="21"/>
        </w:rPr>
        <w:t xml:space="preserve">Together, these findings provide a structured starting point for identifying </w:t>
      </w:r>
      <w:r>
        <w:rPr>
          <w:rFonts w:ascii="Calibri" w:cs="Calibri" w:eastAsia="Calibri" w:hAnsi="Calibri"/>
          <w:b/>
          <w:bCs/>
          <w:color w:val="262626"/>
          <w:sz w:val="21"/>
          <w:szCs w:val="21"/>
        </w:rPr>
        <w:t xml:space="preserve">hospital benchmarking and operational improvement opportunities while simultaneously screening geographic markets for potential healthcare expansion</w:t>
      </w:r>
      <w:r>
        <w:rPr>
          <w:rFonts w:ascii="Calibri" w:cs="Calibri" w:eastAsia="Calibri" w:hAnsi="Calibri"/>
          <w:color w:val="262626"/>
          <w:sz w:val="21"/>
          <w:szCs w:val="21"/>
        </w:rPr>
        <w:t xml:space="preserve">. Final investment or operational decisions would require additional clinical, financial, utilization, capacity, and competitive-market information.</w:t>
      </w:r>
    </w:p>
    <w:sectPr>
      <w:headerReference w:type="default" r:id="rId7"/>
      <w:footerReference w:type="default" r:id="rId8"/>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7"/>
        <w:szCs w:val="17"/>
      </w:rPr>
      <w:t xml:space="preserve">Hongrui (Ray) Yan  |  Project Portfolio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6"/>
        <w:szCs w:val="16"/>
      </w:rPr>
      <w:t xml:space="preserve">U.S. Hospital Value and Market Intelligence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30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60" w:before="180"/>
      <w:outlineLvl w:val="2"/>
    </w:pPr>
    <w:rPr>
      <w:rFonts w:ascii="Calibri" w:cs="Calibri" w:eastAsia="Calibri" w:hAnsi="Calibri"/>
      <w:b/>
      <w:bCs/>
      <w:color w:val="1F4E7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94061c95e87cac6a2175792c24303dca8f44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Hospital Value and Market Intelligence Analysis</dc:title>
  <dc:creator>Hongrui (Ray) Yan</dc:creator>
  <cp:lastModifiedBy>Un-named</cp:lastModifiedBy>
  <cp:revision>1</cp:revision>
  <dcterms:created xsi:type="dcterms:W3CDTF">2026-09-29T03:38:21.982Z</dcterms:created>
  <dcterms:modified xsi:type="dcterms:W3CDTF">2026-09-29T03:38:21.982Z</dcterms:modified>
</cp:coreProperties>
</file>

<file path=docProps/custom.xml><?xml version="1.0" encoding="utf-8"?>
<Properties xmlns="http://schemas.openxmlformats.org/officeDocument/2006/custom-properties" xmlns:vt="http://schemas.openxmlformats.org/officeDocument/2006/docPropsVTypes"/>
</file>