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DAFCL: Dual-Asynchronous Federated Continual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repository contains the official PyTorch implementation for the paper </w:t>
      </w:r>
      <w:r w:rsidDel="00000000" w:rsidR="00000000" w:rsidRPr="00000000">
        <w:rPr>
          <w:rFonts w:ascii="Google Sans" w:cs="Google Sans" w:eastAsia="Google Sans" w:hAnsi="Google Sans"/>
          <w:b w:val="1"/>
          <w:bCs w:val="1"/>
          <w:color w:val="1f1f1f"/>
          <w:rtl w:val="0"/>
        </w:rPr>
        <w:t xml:space="preserve">"DAFCL: Dual-Asynchronous Federated Continual Learning"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Federated Continual Learning (FCL) enables multiple clients to learn from evolving task streams without sharing raw data. However, most existing FCL methods assume synchronous training. In practical heterogeneous edge environments, clients differ in both communication/computation latency and task progression speeds.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formalize this realistic setting as </w:t>
      </w:r>
      <w:r w:rsidDel="00000000" w:rsidR="00000000" w:rsidRPr="00000000">
        <w:rPr>
          <w:rFonts w:ascii="Google Sans" w:cs="Google Sans" w:eastAsia="Google Sans" w:hAnsi="Google Sans"/>
          <w:b w:val="1"/>
          <w:bCs w:val="1"/>
          <w:color w:val="1f1f1f"/>
          <w:rtl w:val="0"/>
        </w:rPr>
        <w:t xml:space="preserve">Dual-Asynchronous Federated Continual Learning</w:t>
      </w:r>
      <w:r w:rsidDel="00000000" w:rsidR="00000000" w:rsidRPr="00000000">
        <w:rPr>
          <w:rFonts w:ascii="Google Sans" w:cs="Google Sans" w:eastAsia="Google Sans" w:hAnsi="Google Sans"/>
          <w:color w:val="1f1f1f"/>
          <w:rtl w:val="0"/>
        </w:rPr>
        <w:t xml:space="preserve">, where the server receives updates that are simultaneously </w:t>
      </w:r>
      <w:r w:rsidDel="00000000" w:rsidR="00000000" w:rsidRPr="00000000">
        <w:rPr>
          <w:rFonts w:ascii="Google Sans" w:cs="Google Sans" w:eastAsia="Google Sans" w:hAnsi="Google Sans"/>
          <w:b w:val="1"/>
          <w:bCs w:val="1"/>
          <w:color w:val="1f1f1f"/>
          <w:rtl w:val="0"/>
        </w:rPr>
        <w:t xml:space="preserve">stale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semantically mismatched</w:t>
      </w:r>
      <w:r w:rsidDel="00000000" w:rsidR="00000000" w:rsidRPr="00000000">
        <w:rPr>
          <w:rFonts w:ascii="Google Sans" w:cs="Google Sans" w:eastAsia="Google Sans" w:hAnsi="Google Sans"/>
          <w:color w:val="1f1f1f"/>
          <w:rtl w:val="0"/>
        </w:rPr>
        <w:t xml:space="preserve"> in task stages. </w:t>
      </w:r>
      <w:r w:rsidDel="00000000" w:rsidR="00000000" w:rsidRPr="00000000">
        <w:rPr>
          <w:rFonts w:ascii="Google Sans" w:cs="Google Sans" w:eastAsia="Google Sans" w:hAnsi="Google Sans"/>
          <w:b w:val="1"/>
          <w:bCs w:val="1"/>
          <w:color w:val="1f1f1f"/>
          <w:rtl w:val="0"/>
        </w:rPr>
        <w:t xml:space="preserve">DAFCL</w:t>
      </w:r>
      <w:r w:rsidDel="00000000" w:rsidR="00000000" w:rsidRPr="00000000">
        <w:rPr>
          <w:rFonts w:ascii="Google Sans" w:cs="Google Sans" w:eastAsia="Google Sans" w:hAnsi="Google Sans"/>
          <w:color w:val="1f1f1f"/>
          <w:rtl w:val="0"/>
        </w:rPr>
        <w:t xml:space="preserve"> tackles the resulting </w:t>
      </w:r>
      <w:r w:rsidDel="00000000" w:rsidR="00000000" w:rsidRPr="00000000">
        <w:rPr>
          <w:rFonts w:ascii="Google Sans" w:cs="Google Sans" w:eastAsia="Google Sans" w:hAnsi="Google Sans"/>
          <w:i w:val="1"/>
          <w:iCs w:val="1"/>
          <w:color w:val="1f1f1f"/>
          <w:rtl w:val="0"/>
        </w:rPr>
        <w:t xml:space="preserve">semantic regression</w:t>
      </w:r>
      <w:r w:rsidDel="00000000" w:rsidR="00000000" w:rsidRPr="00000000">
        <w:rPr>
          <w:rFonts w:ascii="Google Sans" w:cs="Google Sans" w:eastAsia="Google Sans" w:hAnsi="Google Sans"/>
          <w:color w:val="1f1f1f"/>
          <w:rtl w:val="0"/>
        </w:rPr>
        <w:t xml:space="preserve"> problem via: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Decoupled LoRA-Projector Architecture</w:t>
      </w:r>
      <w:r w:rsidDel="00000000" w:rsidR="00000000" w:rsidRPr="00000000">
        <w:rPr>
          <w:rFonts w:ascii="Google Sans" w:cs="Google Sans" w:eastAsia="Google Sans" w:hAnsi="Google Sans"/>
          <w:color w:val="1f1f1f"/>
          <w:rtl w:val="0"/>
        </w:rPr>
        <w:t xml:space="preserve">: Separates shared transferable knowledge and task-specific plasticity.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Semi-Dynamic Semantic Anchors</w:t>
      </w:r>
      <w:r w:rsidDel="00000000" w:rsidR="00000000" w:rsidRPr="00000000">
        <w:rPr>
          <w:rFonts w:ascii="Google Sans" w:cs="Google Sans" w:eastAsia="Google Sans" w:hAnsi="Google Sans"/>
          <w:color w:val="1f1f1f"/>
          <w:rtl w:val="0"/>
        </w:rPr>
        <w:t xml:space="preserve">: Provides a stable semantic coordinate system resistant to temporal drift.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Task-Adaptive Gated Aggregation (TAGA)</w:t>
      </w:r>
      <w:r w:rsidDel="00000000" w:rsidR="00000000" w:rsidRPr="00000000">
        <w:rPr>
          <w:rFonts w:ascii="Google Sans" w:cs="Google Sans" w:eastAsia="Google Sans" w:hAnsi="Google Sans"/>
          <w:color w:val="1f1f1f"/>
          <w:rtl w:val="0"/>
        </w:rPr>
        <w:t xml:space="preserve">: Integrates asynchronous updates using a reliability-aware FIFO buffer mechanism.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Key Features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Realistic Async Simulator</w:t>
      </w:r>
      <w:r w:rsidDel="00000000" w:rsidR="00000000" w:rsidRPr="00000000">
        <w:rPr>
          <w:rFonts w:ascii="Google Sans" w:cs="Google Sans" w:eastAsia="Google Sans" w:hAnsi="Google Sans"/>
          <w:color w:val="1f1f1f"/>
          <w:rtl w:val="0"/>
        </w:rPr>
        <w:t xml:space="preserve">: Built-in event-driven simulator (utils/simulator.py) supporting exponential/uniform delay distributions and asynchronous task progression.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Parameter-Efficient Tuning (PEFT)</w:t>
      </w:r>
      <w:r w:rsidDel="00000000" w:rsidR="00000000" w:rsidRPr="00000000">
        <w:rPr>
          <w:rFonts w:ascii="Google Sans" w:cs="Google Sans" w:eastAsia="Google Sans" w:hAnsi="Google Sans"/>
          <w:color w:val="1f1f1f"/>
          <w:rtl w:val="0"/>
        </w:rPr>
        <w:t xml:space="preserve">: Implements decoupled LoRA tuning for diverse backbones (ViT, ResNet, ConvNeXt).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Two-Stage Anchor-Guided Local Training</w:t>
      </w:r>
      <w:r w:rsidDel="00000000" w:rsidR="00000000" w:rsidRPr="00000000">
        <w:rPr>
          <w:rFonts w:ascii="Google Sans" w:cs="Google Sans" w:eastAsia="Google Sans" w:hAnsi="Google Sans"/>
          <w:color w:val="1f1f1f"/>
          <w:rtl w:val="0"/>
        </w:rPr>
        <w:t xml:space="preserve">: Effectively mitigates catastrophic forgetting at the client side.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Project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core/</w:t>
        <w:br w:type="textWrapping"/>
        <w:t xml:space="preserve">│   ├── client.py               # Client-side 2-stage optimization (LoRA + Projector)</w:t>
        <w:br w:type="textWrapping"/>
        <w:t xml:space="preserve">│   └── server.py               # Server-side reliability estimation &amp; buffered aggregation</w:t>
        <w:br w:type="textWrapping"/>
        <w:t xml:space="preserve">├── data_loader/</w:t>
        <w:br w:type="textWrapping"/>
        <w:t xml:space="preserve">│   └── continual_data.py       # Dirichlet non-IID partitioning &amp; task stream generation</w:t>
        <w:br w:type="textWrapping"/>
        <w:t xml:space="preserve">├── models/</w:t>
        <w:br w:type="textWrapping"/>
        <w:t xml:space="preserve">│   ├── backbone.py             # ViT/ResNet/ConvNeXt with Decoupled LoRA</w:t>
        <w:br w:type="textWrapping"/>
        <w:t xml:space="preserve">│   └── proxy_anchor_generator.py # K-Means based anchor initialization</w:t>
        <w:br w:type="textWrapping"/>
        <w:t xml:space="preserve">├── utils/</w:t>
        <w:br w:type="textWrapping"/>
        <w:t xml:space="preserve">│   ├── args.py                 # Configuration and hyperparameters</w:t>
        <w:br w:type="textWrapping"/>
        <w:t xml:space="preserve">│   ├── simulator.py            # Event-driven dual-asynchronous simulator</w:t>
        <w:br w:type="textWrapping"/>
        <w:t xml:space="preserve">│   └── toolkit.py              # Helper functions &amp; transforms</w:t>
        <w:br w:type="textWrapping"/>
        <w:t xml:space="preserve">├── main.py                     # Entry point for the simulation</w:t>
        <w:br w:type="textWrapping"/>
        <w:t xml:space="preserve">└── README.md</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Installation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Clone this repository: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clone [https://github.com/yourusername/DAFCL.git](https://github.com/yourusername/DAFCL.git)</w:t>
        <w:br w:type="textWrapping"/>
        <w:t xml:space="preserve">cd DAFCL</w:t>
        <w:br w:type="textWrapping"/>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Create a virtual environment and install the required dependencies: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conda create -n dafcl python=3.9 -y</w:t>
        <w:br w:type="textWrapping"/>
        <w:t xml:space="preserve">conda activate dafcl</w:t>
        <w:br w:type="textWrapping"/>
        <w:t xml:space="preserve">pip install torch torchvision</w:t>
        <w:br w:type="textWrapping"/>
        <w:t xml:space="preserve">pip install timm scikit-learn tqdm numpy pillow</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Data &amp; Pretrained Weights Preparation</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Pretrained Weights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Download the ViT-B/16 ImageNet-21k pretrained weights and place them in the ./checkpoints/pretrained/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mkdir -p checkpoints/pretrained</w:t>
        <w:br w:type="textWrapping"/>
        <w:t xml:space="preserve">wget [https://storage.googleapis.com/vit_models/imagenet21k/ViT-B_16.npz](https://storage.googleapis.com/vit_models/imagenet21k/ViT-B_16.npz) # (Or applicable .pth file)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(Ensure the filename matches --pretrained_vit_path in args.py)</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Datasets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datasets (CIFAR-10, CIFAR-100, MNIST) will be downloaded automatically by torchvision into the ./data folder.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the proxy dataset used in anchor initialization, please download </w:t>
      </w:r>
      <w:hyperlink r:id="rId6">
        <w:r w:rsidDel="00000000" w:rsidR="00000000" w:rsidRPr="00000000">
          <w:rPr>
            <w:rFonts w:ascii="Google Sans" w:cs="Google Sans" w:eastAsia="Google Sans" w:hAnsi="Google Sans"/>
            <w:color w:val="0b57d0"/>
            <w:u w:val="single"/>
            <w:rtl w:val="0"/>
          </w:rPr>
          <w:t xml:space="preserve">Tiny-ImageNet-200</w:t>
        </w:r>
      </w:hyperlink>
      <w:r w:rsidDel="00000000" w:rsidR="00000000" w:rsidRPr="00000000">
        <w:rPr>
          <w:rFonts w:ascii="Google Sans" w:cs="Google Sans" w:eastAsia="Google Sans" w:hAnsi="Google Sans"/>
          <w:color w:val="1f1f1f"/>
          <w:rtl w:val="0"/>
        </w:rPr>
        <w:t xml:space="preserve"> and extract it into ./data/tiny-imagenet-200/.</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Quick Start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the main simulation with default parameters (CIFAR-100 on ViT backbone with 50 clients):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main.py \</w:t>
        <w:br w:type="textWrapping"/>
        <w:t xml:space="preserve">    --project_name DAFCL_CIFAR100 \</w:t>
        <w:br w:type="textWrapping"/>
        <w:t xml:space="preserve">    --dataset cifar100 \</w:t>
        <w:br w:type="textWrapping"/>
        <w:t xml:space="preserve">    --model_name vit \</w:t>
        <w:br w:type="textWrapping"/>
        <w:t xml:space="preserve">    --num_tasks 5 \</w:t>
        <w:br w:type="textWrapping"/>
        <w:t xml:space="preserve">    --num_clients 50 \</w:t>
        <w:br w:type="textWrapping"/>
        <w:t xml:space="preserve">    --active_ratio 0.1 \</w:t>
        <w:br w:type="textWrapping"/>
        <w:t xml:space="preserve">    --global_rounds 200 \</w:t>
        <w:br w:type="textWrapping"/>
        <w:t xml:space="preserve">    --adapter_dim 16 \</w:t>
        <w:br w:type="textWrapping"/>
        <w:t xml:space="preserve">    --anchor_task_isolate</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Configurations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easily tweak the dual-asynchronous severity by adjusting:</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--max_delay: Controls the maximum communication staleness (default: 10.0).</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--delay_dist: Staleness distribution (exponential or uniform).</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--non_iid_beta: Dirichlet concentration parameter for data heterogeneity (default: 0.5).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more argument details, please refer to utils/args.py.</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Citation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find this code useful for your research, please consider citing our paper: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@article{ren2025dafcl,</w:t>
        <w:br w:type="textWrapping"/>
        <w:t xml:space="preserve">  title={DAFCL: Dual-Asynchronous Federated Continual Learning},</w:t>
        <w:br w:type="textWrapping"/>
        <w:t xml:space="preserve">  author={Ren, Siqi and Ye, Hao and Cao, Jing and Tang, Zehui and Zhao, Shuai and Zeng, Shengke and Chen, Xiaofeng and Han, Song},</w:t>
        <w:br w:type="textWrapping"/>
        <w:t xml:space="preserve">  journal={TBD},</w:t>
        <w:br w:type="textWrapping"/>
        <w:t xml:space="preserve">  year={2025}</w:t>
        <w:br w:type="textWrapping"/>
        <w:t xml:space="preserv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Acknowledgments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work was supported by the Hangzhou Key Research and Development Program, National Natural Science Foundation of China, and other grants.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s231n.stanford.edu/tiny-imagenet-200.z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