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微软雅黑"/>
          <w:b/>
          <w:color w:val="1677FF"/>
          <w:sz w:val="44"/>
        </w:rPr>
        <w:t>CMSolution · 青瞳动捕方案生成器 使用说明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1"/>
        </w:rPr>
        <w:t>版本 v1.1.0（2026-09-29） · 上海青瞳视觉科技有限公司 内部使用</w:t>
      </w:r>
    </w:p>
    <w:p>
      <w:pPr>
        <w:spacing w:before="280" w:after="160"/>
      </w:pPr>
      <w:r>
        <w:rPr>
          <w:rFonts w:ascii="Times New Roman" w:hAnsi="Times New Roman" w:eastAsia="微软雅黑"/>
          <w:b/>
          <w:color w:val="1677FF"/>
          <w:sz w:val="30"/>
        </w:rPr>
        <w:t>一、软件简介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CMSolution 是青瞳视觉内部使用的动捕方案自动生成工具。在表单中填写客户信息、方案类型、场地尺寸与相机配置，一键生成完整的 Word 技术方案（含部署俯视图/立面图、原理图、流程图、设备清单与产品配图）。支持机器人定位、无人机、影视动捕、具身智能、VR 大空间、XR/VP 虚拟拍摄、特殊定制化项目、水下动捕共 8 类场景，以及基础版/标准版/深度版三档详略。</w:t>
      </w:r>
    </w:p>
    <w:p>
      <w:pPr>
        <w:spacing w:before="280" w:after="160"/>
      </w:pPr>
      <w:r>
        <w:rPr>
          <w:rFonts w:ascii="Times New Roman" w:hAnsi="Times New Roman" w:eastAsia="微软雅黑"/>
          <w:b/>
          <w:color w:val="1677FF"/>
          <w:sz w:val="30"/>
        </w:rPr>
        <w:t>二、启动方式</w:t>
      </w:r>
    </w:p>
    <w:p>
      <w:pPr>
        <w:spacing w:before="160"/>
      </w:pPr>
      <w:r>
        <w:rPr>
          <w:rFonts w:ascii="Times New Roman" w:hAnsi="Times New Roman" w:eastAsia="微软雅黑"/>
          <w:b/>
          <w:color w:val="1A1A1A"/>
          <w:sz w:val="25"/>
        </w:rPr>
        <w:t>桌面版（推荐）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1. 双击软件目录下的 CMSolution.exe，自动弹出独立窗口；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2. 窗口关闭即退出，不影响已生成的方案文件；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3. exe 必须与 _internal 文件夹保持同级，请勿单独移动 exe。</w:t>
      </w:r>
    </w:p>
    <w:p>
      <w:pPr>
        <w:spacing w:before="160"/>
      </w:pPr>
      <w:r>
        <w:rPr>
          <w:rFonts w:ascii="Times New Roman" w:hAnsi="Times New Roman" w:eastAsia="微软雅黑"/>
          <w:b/>
          <w:color w:val="1A1A1A"/>
          <w:sz w:val="25"/>
        </w:rPr>
        <w:t>网页版（局域网共用）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1. 运行 app.py 启动后，本机浏览器访问 http://127.0.0.1:5099；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2. 同一局域网的其他电脑可访问 http://&lt;本机IP&gt;:5099 共同使用。</w:t>
      </w:r>
    </w:p>
    <w:p>
      <w:pPr>
        <w:spacing w:before="280" w:after="160"/>
      </w:pPr>
      <w:r>
        <w:rPr>
          <w:rFonts w:ascii="Times New Roman" w:hAnsi="Times New Roman" w:eastAsia="微软雅黑"/>
          <w:b/>
          <w:color w:val="1677FF"/>
          <w:sz w:val="30"/>
        </w:rPr>
        <w:t>三、三步生成方案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1. 第 1 步：填写“客户与方案”——客户名称（必填）、方案类型（必填）、被测对象、相机型号；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2. 第 2 步：填写“场地尺寸”——长/宽/高（必填）与布置层数，并按所选场景填写专属选项；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3. 第 3 步：在“通用选项”选择标记点类型（必选）、同步机、软件与详略程度，点击“生成方案 Word”。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生成完成后点击“查看报告”直接用 Word/WPS 打开，或“打开文件夹”进入输出目录。所有方案保存在软件目录 output 文件夹内，按“客户名-方案类型-随机码.docx”命名，目录中仅保留 Word 文件。</w:t>
      </w:r>
    </w:p>
    <w:p>
      <w:pPr>
        <w:spacing w:before="280" w:after="160"/>
      </w:pPr>
      <w:r>
        <w:rPr>
          <w:rFonts w:ascii="Times New Roman" w:hAnsi="Times New Roman" w:eastAsia="微软雅黑"/>
          <w:b/>
          <w:color w:val="1677FF"/>
          <w:sz w:val="30"/>
        </w:rPr>
        <w:t>四、表单字段说明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color w:val="1A1A1A"/>
                <w:sz w:val="21"/>
              </w:rPr>
              <w:t>字段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/>
                <w:color w:val="1A1A1A"/>
                <w:sz w:val="21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方案类型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8 类场景必选，决定报告章节结构、默认相机/软件与部署规则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相机型号（主）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默认“自动推荐”：按场地尺寸+标记点类型自动选型并给出选型说明；手动选择时下方实时提示距离是否满足（绿✓/黄△/红⚠）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相机数量模式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自动=按部署规则计算；手动=直接指定数量（仅整数），机位按几何均布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混用相机型号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可选第二型号，机位自动交错排布；数量缺省按总量 40% 拨出；混用为联合覆盖，任一台满足场地距离即不弹警示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标记点类型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必选：被动反光点（适用刚体+骨骼）/ 主动光标记体（仅适用刚体：PUCK、F3/F1-EDG 模块盒）/ 主被动混用；决定识别距离校核口径（混用按被动从严）与报告全部标记相关内容（正文/配图/清单/指标表）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同步机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默认「不配置」；需要时选配：自动推荐=按场景硬门槛判定（虚拍/影视/定制/水下/阵列＞16 台→CMLOCK，其余单路场景→CMLOCK mini）；手动误选触碰硬门槛将被强制升级并在报告中注明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桁架系统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复选框（非必须）：勾选后清单计入铝合金快装桁架 1 批（按场地顶部环绕长度配置，相机吊装固定）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布置层数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自动=场地高度≥6m 时两层立体部署（相机数量成倍）；可手动指定 1-3 层；水下场景自带双层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方案详略程度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基础版（核心章节）/ 标准版（+配图与专项章）/ 深度版（+行业分析、产品详述、SOP、培训、附录 A-E）</w:t>
            </w:r>
          </w:p>
        </w:tc>
      </w:tr>
    </w:tbl>
    <w:p/>
    <w:p>
      <w:pPr>
        <w:spacing w:before="280" w:after="160"/>
      </w:pPr>
      <w:r>
        <w:rPr>
          <w:rFonts w:ascii="Times New Roman" w:hAnsi="Times New Roman" w:eastAsia="微软雅黑"/>
          <w:b/>
          <w:color w:val="1677FF"/>
          <w:sz w:val="30"/>
        </w:rPr>
        <w:t>五、内置自动规则速查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color w:val="1A1A1A"/>
                <w:sz w:val="21"/>
              </w:rPr>
              <w:t>规则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/>
                <w:color w:val="1A1A1A"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相机选型校核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每台相机须覆盖场地中心：识别距离 ≥ √((长/2)²+(宽/2)²+高²)；自动推荐不足时自动升档最经济型号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覆盖不足弹窗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点击生成时，任一已选相机 ⚠距离不满足 或 △余量&lt;20% 均弹确认窗，确认后才生成；混用联合覆盖一台满足即放行；R3 参考相机不参与校核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相机数量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按场景部署规则计算（环绕间距/网格间距），叠加遮挡冗余；高度≥6m 自动两层，数量成倍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交换机选型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口数+功率+供电等级三重校核；K 系列相机强制 PoE++（802.3bt），其余 PoE+；机器人/定制场景优先工业级机型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同步机选型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默认不配置；选配时按 CMLOCK 选型说明硬门槛判定（Genlock/Timecode/VESA、多路同步、机架集中→CMLOCK；单路主动光/开关量→mini；水下强制 CMLOCK）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标记点内容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主动光仅适用刚体（PUCK/F3/F1-EDG 产品族），被动适用刚体+骨骼；报告正文/图片/清单/指标表随所选类型联动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水下清单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U 系列相机自动配：UW Connection Unit 连接单元（每 3 台 1 盒，IP65/PoE 供电）、防水电缆、水下固定套件、蓝光 450nm 标记点与校准套件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网线数量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相机+参考相机+服务器+同步机+交换机，另备 2 根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整数约束</w:t>
            </w:r>
          </w:p>
        </w:tc>
        <w:tc>
          <w:tcPr>
            <w:tcW w:type="dxa" w:w="6350"/>
          </w:tcPr>
          <w:p>
            <w:r>
              <w:rPr>
                <w:rFonts w:ascii="Times New Roman" w:hAnsi="Times New Roman" w:eastAsia="宋体"/>
                <w:b w:val="0"/>
                <w:color w:val="1A1A1A"/>
                <w:sz w:val="21"/>
              </w:rPr>
              <w:t>相机数量/人数/目标数/机位数仅允许整数输入</w:t>
            </w:r>
          </w:p>
        </w:tc>
      </w:tr>
    </w:tbl>
    <w:p/>
    <w:p>
      <w:pPr>
        <w:spacing w:before="280" w:after="160"/>
      </w:pPr>
      <w:r>
        <w:rPr>
          <w:rFonts w:ascii="Times New Roman" w:hAnsi="Times New Roman" w:eastAsia="微软雅黑"/>
          <w:b/>
          <w:color w:val="1677FF"/>
          <w:sz w:val="30"/>
        </w:rPr>
        <w:t>六、常见问题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1. 目录页码不显示？报告目录为 Word 引用目录，打开文档时选择“是”更新域，或全选后按 F9 刷新；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2. 想改某个指标或段落？直接在 Word 中编辑即可，目录按 F9 重新生成；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3. 相机产品图缺失？确认软件目录 assets 文件夹完整，缺失图片会自动跳过不影响生成；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4. 生成失败/按钮无响应？先关闭所有正在占用 output 目录中文件的 Word 窗口再重试；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color w:val="1A1A1A"/>
          <w:sz w:val="24"/>
        </w:rPr>
        <w:t>5. 需要报价？清单不含价格，报价请走公司商务流程。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