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 w:eastAsia="宋体"/>
          <w:b/>
          <w:color w:val="1A1A1A"/>
          <w:sz w:val="44"/>
        </w:rPr>
        <w:t>CMSolution 使用说明</w:t>
      </w:r>
    </w:p>
    <w:p>
      <w:pPr>
        <w:jc w:val="center"/>
      </w:pPr>
      <w:r>
        <w:rPr>
          <w:rFonts w:ascii="Times New Roman" w:hAnsi="Times New Roman" w:eastAsia="宋体"/>
          <w:b w:val="0"/>
          <w:color w:val="595959"/>
          <w:sz w:val="24"/>
        </w:rPr>
        <w:t>青瞳动捕方案生成器（PC 端）</w:t>
      </w:r>
    </w:p>
    <w:p>
      <w:pPr>
        <w:jc w:val="center"/>
      </w:pPr>
      <w:r>
        <w:rPr>
          <w:rFonts w:ascii="Times New Roman" w:hAnsi="Times New Roman" w:eastAsia="宋体"/>
          <w:b w:val="0"/>
          <w:color w:val="595959"/>
          <w:sz w:val="24"/>
        </w:rPr>
        <w:t>2026 年 9 月</w:t>
      </w:r>
    </w:p>
    <w:p>
      <w:r>
        <w:br w:type="page"/>
      </w:r>
    </w:p>
    <w:p>
      <w:pPr>
        <w:pStyle w:val="Heading1"/>
        <w:spacing w:before="0" w:after="0" w:line="360" w:lineRule="auto"/>
      </w:pPr>
      <w:r>
        <w:rPr>
          <w:rFonts w:ascii="Times New Roman" w:hAnsi="Times New Roman" w:eastAsia="宋体"/>
          <w:b/>
          <w:color w:val="1A1A1A"/>
          <w:sz w:val="28"/>
        </w:rPr>
        <w:t>一、软件简介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1A1A1A"/>
          <w:sz w:val="24"/>
        </w:rPr>
        <w:t>CMSolution 是青瞳视觉内部使用的动捕方案自动生成工具。在网页表单中填写客户信息、方案类型、场地尺寸与相机配置，一键生成完整的 Word 技术方案（含部署俯视图/立面图、原理图、流程图、设备清单与产品配图），支持机器人定位、无人机、影视动捕、具身智能、VR 大空间、XR/VP 虚拟拍摄、特殊定制化项目、水下动捕共 8 类场景，以及基础版 / 标准版 / 深度版三档详略。</w:t>
      </w:r>
    </w:p>
    <w:p>
      <w:pPr>
        <w:pStyle w:val="Heading1"/>
        <w:spacing w:before="0" w:after="0" w:line="360" w:lineRule="auto"/>
      </w:pPr>
      <w:r>
        <w:rPr>
          <w:rFonts w:ascii="Times New Roman" w:hAnsi="Times New Roman" w:eastAsia="宋体"/>
          <w:b/>
          <w:color w:val="1A1A1A"/>
          <w:sz w:val="28"/>
        </w:rPr>
        <w:t>二、启动方式</w:t>
      </w:r>
    </w:p>
    <w:p>
      <w:pPr>
        <w:pStyle w:val="Heading2"/>
        <w:spacing w:before="0" w:after="0" w:line="360" w:lineRule="auto"/>
      </w:pPr>
      <w:r>
        <w:rPr>
          <w:rFonts w:ascii="Times New Roman" w:hAnsi="Times New Roman" w:eastAsia="宋体"/>
          <w:b/>
          <w:color w:val="1A1A1A"/>
          <w:sz w:val="24"/>
        </w:rPr>
        <w:t>桌面版（推荐）</w:t>
      </w:r>
    </w:p>
    <w:p>
      <w:pPr>
        <w:spacing w:before="0" w:after="0" w:line="360" w:lineRule="auto"/>
        <w:ind w:left="480"/>
      </w:pPr>
      <w:r>
        <w:rPr>
          <w:rFonts w:ascii="Times New Roman" w:hAnsi="Times New Roman" w:eastAsia="宋体"/>
          <w:b w:val="0"/>
          <w:color w:val="1A1A1A"/>
          <w:sz w:val="24"/>
        </w:rPr>
        <w:t>• 双击软件目录下的 CMSolution.bat，自动弹出独立窗口（无需浏览器）；</w:t>
      </w:r>
    </w:p>
    <w:p>
      <w:pPr>
        <w:spacing w:before="0" w:after="0" w:line="360" w:lineRule="auto"/>
        <w:ind w:left="480"/>
      </w:pPr>
      <w:r>
        <w:rPr>
          <w:rFonts w:ascii="Times New Roman" w:hAnsi="Times New Roman" w:eastAsia="宋体"/>
          <w:b w:val="0"/>
          <w:color w:val="1A1A1A"/>
          <w:sz w:val="24"/>
        </w:rPr>
        <w:t>• 窗口关闭即退出，不影响已生成的方案文件。</w:t>
      </w:r>
    </w:p>
    <w:p>
      <w:pPr>
        <w:pStyle w:val="Heading2"/>
        <w:spacing w:before="0" w:after="0" w:line="360" w:lineRule="auto"/>
      </w:pPr>
      <w:r>
        <w:rPr>
          <w:rFonts w:ascii="Times New Roman" w:hAnsi="Times New Roman" w:eastAsia="宋体"/>
          <w:b/>
          <w:color w:val="1A1A1A"/>
          <w:sz w:val="24"/>
        </w:rPr>
        <w:t>网页版（局域网共用）</w:t>
      </w:r>
    </w:p>
    <w:p>
      <w:pPr>
        <w:spacing w:before="0" w:after="0" w:line="360" w:lineRule="auto"/>
        <w:ind w:left="480"/>
      </w:pPr>
      <w:r>
        <w:rPr>
          <w:rFonts w:ascii="Times New Roman" w:hAnsi="Times New Roman" w:eastAsia="宋体"/>
          <w:b w:val="0"/>
          <w:color w:val="1A1A1A"/>
          <w:sz w:val="24"/>
        </w:rPr>
        <w:t>• 双击运行 app.py（或命令行执行），启动后在本机浏览器访问 http://127.0.0.1:5099；</w:t>
      </w:r>
    </w:p>
    <w:p>
      <w:pPr>
        <w:spacing w:before="0" w:after="0" w:line="360" w:lineRule="auto"/>
        <w:ind w:left="480"/>
      </w:pPr>
      <w:r>
        <w:rPr>
          <w:rFonts w:ascii="Times New Roman" w:hAnsi="Times New Roman" w:eastAsia="宋体"/>
          <w:b w:val="0"/>
          <w:color w:val="1A1A1A"/>
          <w:sz w:val="24"/>
        </w:rPr>
        <w:t>• 同一局域网的其他电脑可访问 http://&lt;本机IP&gt;:5099 共同使用。</w:t>
      </w:r>
    </w:p>
    <w:p>
      <w:pPr>
        <w:pStyle w:val="Heading1"/>
        <w:spacing w:before="0" w:after="0" w:line="360" w:lineRule="auto"/>
      </w:pPr>
      <w:r>
        <w:rPr>
          <w:rFonts w:ascii="Times New Roman" w:hAnsi="Times New Roman" w:eastAsia="宋体"/>
          <w:b/>
          <w:color w:val="1A1A1A"/>
          <w:sz w:val="28"/>
        </w:rPr>
        <w:t>三、三步生成方案</w:t>
      </w:r>
    </w:p>
    <w:p>
      <w:pPr>
        <w:spacing w:before="0" w:after="0" w:line="360" w:lineRule="auto"/>
        <w:ind w:left="480"/>
      </w:pPr>
      <w:r>
        <w:rPr>
          <w:rFonts w:ascii="Times New Roman" w:hAnsi="Times New Roman" w:eastAsia="宋体"/>
          <w:b w:val="0"/>
          <w:color w:val="1A1A1A"/>
          <w:sz w:val="24"/>
        </w:rPr>
        <w:t>• 第 1 步：填写“客户与方案”——客户名称（必填）、方案类型（必填）、被测对象、相机型号；</w:t>
      </w:r>
    </w:p>
    <w:p>
      <w:pPr>
        <w:spacing w:before="0" w:after="0" w:line="360" w:lineRule="auto"/>
        <w:ind w:left="480"/>
      </w:pPr>
      <w:r>
        <w:rPr>
          <w:rFonts w:ascii="Times New Roman" w:hAnsi="Times New Roman" w:eastAsia="宋体"/>
          <w:b w:val="0"/>
          <w:color w:val="1A1A1A"/>
          <w:sz w:val="24"/>
        </w:rPr>
        <w:t>• 第 2 步：填写“场地尺寸”——长/宽/高（必填）与布置层数，并按所选场景填写专属选项（如追踪目标数量、人数等）；</w:t>
      </w:r>
    </w:p>
    <w:p>
      <w:pPr>
        <w:spacing w:before="0" w:after="0" w:line="360" w:lineRule="auto"/>
        <w:ind w:left="480"/>
      </w:pPr>
      <w:r>
        <w:rPr>
          <w:rFonts w:ascii="Times New Roman" w:hAnsi="Times New Roman" w:eastAsia="宋体"/>
          <w:b w:val="0"/>
          <w:color w:val="1A1A1A"/>
          <w:sz w:val="24"/>
        </w:rPr>
        <w:t>• 第 3 步：在“通用选项”选择标记点类型（必选）、同步机、软件与详略程度，点击“生成方案 Word”。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1A1A1A"/>
          <w:sz w:val="24"/>
        </w:rPr>
        <w:t>生成完成后点击“查看报告”直接用 Word/WPS 打开，或“打开文件夹”进入输出目录。所有方案保存在软件目录 output 文件夹内，按“客户名-方案类型-随机码.docx”命名。</w:t>
      </w:r>
    </w:p>
    <w:p>
      <w:pPr>
        <w:pStyle w:val="Heading1"/>
        <w:spacing w:before="0" w:after="0" w:line="360" w:lineRule="auto"/>
      </w:pPr>
      <w:r>
        <w:rPr>
          <w:rFonts w:ascii="Times New Roman" w:hAnsi="Times New Roman" w:eastAsia="宋体"/>
          <w:b/>
          <w:color w:val="1A1A1A"/>
          <w:sz w:val="28"/>
        </w:rPr>
        <w:t>四、表单字段说明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1928"/>
          </w:tcPr>
          <w:p>
            <w:pPr>
              <w:spacing w:before="0" w:after="0"/>
            </w:pPr>
            <w:r>
              <w:rPr>
                <w:rFonts w:ascii="Times New Roman" w:hAnsi="Times New Roman" w:eastAsia="宋体"/>
                <w:b/>
                <w:color w:val="1A1A1A"/>
                <w:sz w:val="24"/>
              </w:rPr>
              <w:t>字段</w:t>
            </w:r>
          </w:p>
        </w:tc>
        <w:tc>
          <w:tcPr>
            <w:tcW w:type="dxa" w:w="6009"/>
          </w:tcPr>
          <w:p>
            <w:pPr>
              <w:spacing w:before="0" w:after="0"/>
            </w:pPr>
            <w:r>
              <w:rPr>
                <w:rFonts w:ascii="Times New Roman" w:hAnsi="Times New Roman" w:eastAsia="宋体"/>
                <w:b/>
                <w:color w:val="1A1A1A"/>
                <w:sz w:val="24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before="0" w:after="0"/>
            </w:pPr>
            <w:r>
              <w:rPr>
                <w:rFonts w:ascii="Times New Roman" w:hAnsi="Times New Roman" w:eastAsia="宋体"/>
                <w:b w:val="0"/>
                <w:color w:val="1A1A1A"/>
                <w:sz w:val="24"/>
              </w:rPr>
              <w:t>方案类型</w:t>
            </w:r>
          </w:p>
        </w:tc>
        <w:tc>
          <w:tcPr>
            <w:tcW w:type="dxa" w:w="6009"/>
          </w:tcPr>
          <w:p>
            <w:pPr>
              <w:spacing w:before="0" w:after="0"/>
            </w:pPr>
            <w:r>
              <w:rPr>
                <w:rFonts w:ascii="Times New Roman" w:hAnsi="Times New Roman" w:eastAsia="宋体"/>
                <w:b w:val="0"/>
                <w:color w:val="1A1A1A"/>
                <w:sz w:val="24"/>
              </w:rPr>
              <w:t>8 类场景必选，决定报告章节结构、默认相机/软件与部署规则</w:t>
            </w:r>
          </w:p>
        </w:tc>
      </w:tr>
      <w:tr>
        <w:tc>
          <w:tcPr>
            <w:tcW w:type="dxa" w:w="1928"/>
          </w:tcPr>
          <w:p>
            <w:pPr>
              <w:spacing w:before="0" w:after="0"/>
            </w:pPr>
            <w:r>
              <w:rPr>
                <w:rFonts w:ascii="Times New Roman" w:hAnsi="Times New Roman" w:eastAsia="宋体"/>
                <w:b w:val="0"/>
                <w:color w:val="1A1A1A"/>
                <w:sz w:val="24"/>
              </w:rPr>
              <w:t>相机型号（主）</w:t>
            </w:r>
          </w:p>
        </w:tc>
        <w:tc>
          <w:tcPr>
            <w:tcW w:type="dxa" w:w="6009"/>
          </w:tcPr>
          <w:p>
            <w:pPr>
              <w:spacing w:before="0" w:after="0"/>
            </w:pPr>
            <w:r>
              <w:rPr>
                <w:rFonts w:ascii="Times New Roman" w:hAnsi="Times New Roman" w:eastAsia="宋体"/>
                <w:b w:val="0"/>
                <w:color w:val="1A1A1A"/>
                <w:sz w:val="24"/>
              </w:rPr>
              <w:t>默认“自动推荐”：按场地尺寸+标记点类型自动选型并给出选型说明；手动选择时下方实时提示距离是否满足（绿✓/黄△/红⚠）</w:t>
            </w:r>
          </w:p>
        </w:tc>
      </w:tr>
      <w:tr>
        <w:tc>
          <w:tcPr>
            <w:tcW w:type="dxa" w:w="1928"/>
          </w:tcPr>
          <w:p>
            <w:pPr>
              <w:spacing w:before="0" w:after="0"/>
            </w:pPr>
            <w:r>
              <w:rPr>
                <w:rFonts w:ascii="Times New Roman" w:hAnsi="Times New Roman" w:eastAsia="宋体"/>
                <w:b w:val="0"/>
                <w:color w:val="1A1A1A"/>
                <w:sz w:val="24"/>
              </w:rPr>
              <w:t>相机数量模式</w:t>
            </w:r>
          </w:p>
        </w:tc>
        <w:tc>
          <w:tcPr>
            <w:tcW w:type="dxa" w:w="6009"/>
          </w:tcPr>
          <w:p>
            <w:pPr>
              <w:spacing w:before="0" w:after="0"/>
            </w:pPr>
            <w:r>
              <w:rPr>
                <w:rFonts w:ascii="Times New Roman" w:hAnsi="Times New Roman" w:eastAsia="宋体"/>
                <w:b w:val="0"/>
                <w:color w:val="1A1A1A"/>
                <w:sz w:val="24"/>
              </w:rPr>
              <w:t>自动=按部署规则计算；手动=直接指定数量，机位按几何均布</w:t>
            </w:r>
          </w:p>
        </w:tc>
      </w:tr>
      <w:tr>
        <w:tc>
          <w:tcPr>
            <w:tcW w:type="dxa" w:w="1928"/>
          </w:tcPr>
          <w:p>
            <w:pPr>
              <w:spacing w:before="0" w:after="0"/>
            </w:pPr>
            <w:r>
              <w:rPr>
                <w:rFonts w:ascii="Times New Roman" w:hAnsi="Times New Roman" w:eastAsia="宋体"/>
                <w:b w:val="0"/>
                <w:color w:val="1A1A1A"/>
                <w:sz w:val="24"/>
              </w:rPr>
              <w:t>混用相机型号</w:t>
            </w:r>
          </w:p>
        </w:tc>
        <w:tc>
          <w:tcPr>
            <w:tcW w:type="dxa" w:w="6009"/>
          </w:tcPr>
          <w:p>
            <w:pPr>
              <w:spacing w:before="0" w:after="0"/>
            </w:pPr>
            <w:r>
              <w:rPr>
                <w:rFonts w:ascii="Times New Roman" w:hAnsi="Times New Roman" w:eastAsia="宋体"/>
                <w:b w:val="0"/>
                <w:color w:val="1A1A1A"/>
                <w:sz w:val="24"/>
              </w:rPr>
              <w:t>可选第二型号，机位自动交错排布；数量缺省按总量 40% 拨出</w:t>
            </w:r>
          </w:p>
        </w:tc>
      </w:tr>
      <w:tr>
        <w:tc>
          <w:tcPr>
            <w:tcW w:type="dxa" w:w="1928"/>
          </w:tcPr>
          <w:p>
            <w:pPr>
              <w:spacing w:before="0" w:after="0"/>
            </w:pPr>
            <w:r>
              <w:rPr>
                <w:rFonts w:ascii="Times New Roman" w:hAnsi="Times New Roman" w:eastAsia="宋体"/>
                <w:b w:val="0"/>
                <w:color w:val="1A1A1A"/>
                <w:sz w:val="24"/>
              </w:rPr>
              <w:t>标记点类型</w:t>
            </w:r>
          </w:p>
        </w:tc>
        <w:tc>
          <w:tcPr>
            <w:tcW w:type="dxa" w:w="6009"/>
          </w:tcPr>
          <w:p>
            <w:pPr>
              <w:spacing w:before="0" w:after="0"/>
            </w:pPr>
            <w:r>
              <w:rPr>
                <w:rFonts w:ascii="Times New Roman" w:hAnsi="Times New Roman" w:eastAsia="宋体"/>
                <w:b w:val="0"/>
                <w:color w:val="1A1A1A"/>
                <w:sz w:val="24"/>
              </w:rPr>
              <w:t>必选：被动反光点 / 主动光标记体 / 主被动混用；决定识别距离校核口径（混用按被动从严）与标记点清单</w:t>
            </w:r>
          </w:p>
        </w:tc>
      </w:tr>
      <w:tr>
        <w:tc>
          <w:tcPr>
            <w:tcW w:type="dxa" w:w="1928"/>
          </w:tcPr>
          <w:p>
            <w:pPr>
              <w:spacing w:before="0" w:after="0"/>
            </w:pPr>
            <w:r>
              <w:rPr>
                <w:rFonts w:ascii="Times New Roman" w:hAnsi="Times New Roman" w:eastAsia="宋体"/>
                <w:b w:val="0"/>
                <w:color w:val="1A1A1A"/>
                <w:sz w:val="24"/>
              </w:rPr>
              <w:t>同步机</w:t>
            </w:r>
          </w:p>
        </w:tc>
        <w:tc>
          <w:tcPr>
            <w:tcW w:type="dxa" w:w="6009"/>
          </w:tcPr>
          <w:p>
            <w:pPr>
              <w:spacing w:before="0" w:after="0"/>
            </w:pPr>
            <w:r>
              <w:rPr>
                <w:rFonts w:ascii="Times New Roman" w:hAnsi="Times New Roman" w:eastAsia="宋体"/>
                <w:b w:val="0"/>
                <w:color w:val="1A1A1A"/>
                <w:sz w:val="24"/>
              </w:rPr>
              <w:t>自动推荐=按场景默认（虚拍/影视/定制/水下→CMLOCK，其余→CMLOCK mini）；也可手动指定或不配置</w:t>
            </w:r>
          </w:p>
        </w:tc>
      </w:tr>
      <w:tr>
        <w:tc>
          <w:tcPr>
            <w:tcW w:type="dxa" w:w="1928"/>
          </w:tcPr>
          <w:p>
            <w:pPr>
              <w:spacing w:before="0" w:after="0"/>
            </w:pPr>
            <w:r>
              <w:rPr>
                <w:rFonts w:ascii="Times New Roman" w:hAnsi="Times New Roman" w:eastAsia="宋体"/>
                <w:b w:val="0"/>
                <w:color w:val="1A1A1A"/>
                <w:sz w:val="24"/>
              </w:rPr>
              <w:t>布置层数</w:t>
            </w:r>
          </w:p>
        </w:tc>
        <w:tc>
          <w:tcPr>
            <w:tcW w:type="dxa" w:w="6009"/>
          </w:tcPr>
          <w:p>
            <w:pPr>
              <w:spacing w:before="0" w:after="0"/>
            </w:pPr>
            <w:r>
              <w:rPr>
                <w:rFonts w:ascii="Times New Roman" w:hAnsi="Times New Roman" w:eastAsia="宋体"/>
                <w:b w:val="0"/>
                <w:color w:val="1A1A1A"/>
                <w:sz w:val="24"/>
              </w:rPr>
              <w:t>自动=场地高度＞6m 时两层立体部署（相机数量成倍）；可手动指定 1-3 层；水下场景自带双层，不受此项影响</w:t>
            </w:r>
          </w:p>
        </w:tc>
      </w:tr>
      <w:tr>
        <w:tc>
          <w:tcPr>
            <w:tcW w:type="dxa" w:w="1928"/>
          </w:tcPr>
          <w:p>
            <w:pPr>
              <w:spacing w:before="0" w:after="0"/>
            </w:pPr>
            <w:r>
              <w:rPr>
                <w:rFonts w:ascii="Times New Roman" w:hAnsi="Times New Roman" w:eastAsia="宋体"/>
                <w:b w:val="0"/>
                <w:color w:val="1A1A1A"/>
                <w:sz w:val="24"/>
              </w:rPr>
              <w:t>方案详略程度</w:t>
            </w:r>
          </w:p>
        </w:tc>
        <w:tc>
          <w:tcPr>
            <w:tcW w:type="dxa" w:w="6009"/>
          </w:tcPr>
          <w:p>
            <w:pPr>
              <w:spacing w:before="0" w:after="0"/>
            </w:pPr>
            <w:r>
              <w:rPr>
                <w:rFonts w:ascii="Times New Roman" w:hAnsi="Times New Roman" w:eastAsia="宋体"/>
                <w:b w:val="0"/>
                <w:color w:val="1A1A1A"/>
                <w:sz w:val="24"/>
              </w:rPr>
              <w:t>基础版（核心章节）/ 标准版（+配图与专项章）/ 深度版（+行业分析、产品详述、SOP、培训、附录 A-F）</w:t>
            </w:r>
          </w:p>
        </w:tc>
      </w:tr>
    </w:tbl>
    <w:p/>
    <w:p>
      <w:pPr>
        <w:pStyle w:val="Heading1"/>
        <w:spacing w:before="0" w:after="0" w:line="360" w:lineRule="auto"/>
      </w:pPr>
      <w:r>
        <w:rPr>
          <w:rFonts w:ascii="Times New Roman" w:hAnsi="Times New Roman" w:eastAsia="宋体"/>
          <w:b/>
          <w:color w:val="1A1A1A"/>
          <w:sz w:val="28"/>
        </w:rPr>
        <w:t>五、内置自动规则速查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1A1A1A"/>
          <w:sz w:val="24"/>
        </w:rPr>
        <w:t>以下规则由引擎自动执行，生成报告时会将关键判断写入正文（如“相机自动选型说明”），无需人工核算：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1928"/>
          </w:tcPr>
          <w:p>
            <w:pPr>
              <w:spacing w:before="0" w:after="0"/>
            </w:pPr>
            <w:r>
              <w:rPr>
                <w:rFonts w:ascii="Times New Roman" w:hAnsi="Times New Roman" w:eastAsia="宋体"/>
                <w:b/>
                <w:color w:val="1A1A1A"/>
                <w:sz w:val="24"/>
              </w:rPr>
              <w:t>规则</w:t>
            </w:r>
          </w:p>
        </w:tc>
        <w:tc>
          <w:tcPr>
            <w:tcW w:type="dxa" w:w="6009"/>
          </w:tcPr>
          <w:p>
            <w:pPr>
              <w:spacing w:before="0" w:after="0"/>
            </w:pPr>
            <w:r>
              <w:rPr>
                <w:rFonts w:ascii="Times New Roman" w:hAnsi="Times New Roman" w:eastAsia="宋体"/>
                <w:b/>
                <w:color w:val="1A1A1A"/>
                <w:sz w:val="24"/>
              </w:rPr>
              <w:t>内容</w:t>
            </w:r>
          </w:p>
        </w:tc>
      </w:tr>
      <w:tr>
        <w:tc>
          <w:tcPr>
            <w:tcW w:type="dxa" w:w="1928"/>
          </w:tcPr>
          <w:p>
            <w:pPr>
              <w:spacing w:before="0" w:after="0"/>
            </w:pPr>
            <w:r>
              <w:rPr>
                <w:rFonts w:ascii="Times New Roman" w:hAnsi="Times New Roman" w:eastAsia="宋体"/>
                <w:b w:val="0"/>
                <w:color w:val="1A1A1A"/>
                <w:sz w:val="24"/>
              </w:rPr>
              <w:t>相机选型校核</w:t>
            </w:r>
          </w:p>
        </w:tc>
        <w:tc>
          <w:tcPr>
            <w:tcW w:type="dxa" w:w="6009"/>
          </w:tcPr>
          <w:p>
            <w:pPr>
              <w:spacing w:before="0" w:after="0"/>
            </w:pPr>
            <w:r>
              <w:rPr>
                <w:rFonts w:ascii="Times New Roman" w:hAnsi="Times New Roman" w:eastAsia="宋体"/>
                <w:b w:val="0"/>
                <w:color w:val="1A1A1A"/>
                <w:sz w:val="24"/>
              </w:rPr>
              <w:t>每台相机须覆盖场地中心：识别距离 ≥ √((长/2)²+(宽/2)²+高²)；自动推荐不足时自动升档最经济型号，全部不足时告警</w:t>
            </w:r>
          </w:p>
        </w:tc>
      </w:tr>
      <w:tr>
        <w:tc>
          <w:tcPr>
            <w:tcW w:type="dxa" w:w="1928"/>
          </w:tcPr>
          <w:p>
            <w:pPr>
              <w:spacing w:before="0" w:after="0"/>
            </w:pPr>
            <w:r>
              <w:rPr>
                <w:rFonts w:ascii="Times New Roman" w:hAnsi="Times New Roman" w:eastAsia="宋体"/>
                <w:b w:val="0"/>
                <w:color w:val="1A1A1A"/>
                <w:sz w:val="24"/>
              </w:rPr>
              <w:t>距离余量提示</w:t>
            </w:r>
          </w:p>
        </w:tc>
        <w:tc>
          <w:tcPr>
            <w:tcW w:type="dxa" w:w="6009"/>
          </w:tcPr>
          <w:p>
            <w:pPr>
              <w:spacing w:before="0" w:after="0"/>
            </w:pPr>
            <w:r>
              <w:rPr>
                <w:rFonts w:ascii="Times New Roman" w:hAnsi="Times New Roman" w:eastAsia="宋体"/>
                <w:b w:val="0"/>
                <w:color w:val="1A1A1A"/>
                <w:sz w:val="24"/>
              </w:rPr>
              <w:t>识别距离余量＜20% 时在报告中给出升档建议</w:t>
            </w:r>
          </w:p>
        </w:tc>
      </w:tr>
      <w:tr>
        <w:tc>
          <w:tcPr>
            <w:tcW w:type="dxa" w:w="1928"/>
          </w:tcPr>
          <w:p>
            <w:pPr>
              <w:spacing w:before="0" w:after="0"/>
            </w:pPr>
            <w:r>
              <w:rPr>
                <w:rFonts w:ascii="Times New Roman" w:hAnsi="Times New Roman" w:eastAsia="宋体"/>
                <w:b w:val="0"/>
                <w:color w:val="1A1A1A"/>
                <w:sz w:val="24"/>
              </w:rPr>
              <w:t>相机数量</w:t>
            </w:r>
          </w:p>
        </w:tc>
        <w:tc>
          <w:tcPr>
            <w:tcW w:type="dxa" w:w="6009"/>
          </w:tcPr>
          <w:p>
            <w:pPr>
              <w:spacing w:before="0" w:after="0"/>
            </w:pPr>
            <w:r>
              <w:rPr>
                <w:rFonts w:ascii="Times New Roman" w:hAnsi="Times New Roman" w:eastAsia="宋体"/>
                <w:b w:val="0"/>
                <w:color w:val="1A1A1A"/>
                <w:sz w:val="24"/>
              </w:rPr>
              <w:t>按场景部署规则计算（环绕间距/网格间距），叠加遮挡冗余；高度＞6m 自动两层，数量成倍</w:t>
            </w:r>
          </w:p>
        </w:tc>
      </w:tr>
      <w:tr>
        <w:tc>
          <w:tcPr>
            <w:tcW w:type="dxa" w:w="1928"/>
          </w:tcPr>
          <w:p>
            <w:pPr>
              <w:spacing w:before="0" w:after="0"/>
            </w:pPr>
            <w:r>
              <w:rPr>
                <w:rFonts w:ascii="Times New Roman" w:hAnsi="Times New Roman" w:eastAsia="宋体"/>
                <w:b w:val="0"/>
                <w:color w:val="1A1A1A"/>
                <w:sz w:val="24"/>
              </w:rPr>
              <w:t>交换机选型</w:t>
            </w:r>
          </w:p>
        </w:tc>
        <w:tc>
          <w:tcPr>
            <w:tcW w:type="dxa" w:w="6009"/>
          </w:tcPr>
          <w:p>
            <w:pPr>
              <w:spacing w:before="0" w:after="0"/>
            </w:pPr>
            <w:r>
              <w:rPr>
                <w:rFonts w:ascii="Times New Roman" w:hAnsi="Times New Roman" w:eastAsia="宋体"/>
                <w:b w:val="0"/>
                <w:color w:val="1A1A1A"/>
                <w:sz w:val="24"/>
              </w:rPr>
              <w:t>口数+功率+供电等级三重校核；K 系列相机强制 PoE++（802.3bt），其余 PoE+；机器人/定制场景优先工业级机型；单台不足自动多台分区接入</w:t>
            </w:r>
          </w:p>
        </w:tc>
      </w:tr>
      <w:tr>
        <w:tc>
          <w:tcPr>
            <w:tcW w:type="dxa" w:w="1928"/>
          </w:tcPr>
          <w:p>
            <w:pPr>
              <w:spacing w:before="0" w:after="0"/>
            </w:pPr>
            <w:r>
              <w:rPr>
                <w:rFonts w:ascii="Times New Roman" w:hAnsi="Times New Roman" w:eastAsia="宋体"/>
                <w:b w:val="0"/>
                <w:color w:val="1A1A1A"/>
                <w:sz w:val="24"/>
              </w:rPr>
              <w:t>同步机选型</w:t>
            </w:r>
          </w:p>
        </w:tc>
        <w:tc>
          <w:tcPr>
            <w:tcW w:type="dxa" w:w="6009"/>
          </w:tcPr>
          <w:p>
            <w:pPr>
              <w:spacing w:before="0" w:after="0"/>
            </w:pPr>
            <w:r>
              <w:rPr>
                <w:rFonts w:ascii="Times New Roman" w:hAnsi="Times New Roman" w:eastAsia="宋体"/>
                <w:b w:val="0"/>
                <w:color w:val="1A1A1A"/>
                <w:sz w:val="24"/>
              </w:rPr>
              <w:t>虚拍 Genlock/影视 Timecode/定制/水下→CMLOCK；单路通用同步场景→CMLOCK mini；水下强制 CMLOCK</w:t>
            </w:r>
          </w:p>
        </w:tc>
      </w:tr>
      <w:tr>
        <w:tc>
          <w:tcPr>
            <w:tcW w:type="dxa" w:w="1928"/>
          </w:tcPr>
          <w:p>
            <w:pPr>
              <w:spacing w:before="0" w:after="0"/>
            </w:pPr>
            <w:r>
              <w:rPr>
                <w:rFonts w:ascii="Times New Roman" w:hAnsi="Times New Roman" w:eastAsia="宋体"/>
                <w:b w:val="0"/>
                <w:color w:val="1A1A1A"/>
                <w:sz w:val="24"/>
              </w:rPr>
              <w:t>水下清单</w:t>
            </w:r>
          </w:p>
        </w:tc>
        <w:tc>
          <w:tcPr>
            <w:tcW w:type="dxa" w:w="6009"/>
          </w:tcPr>
          <w:p>
            <w:pPr>
              <w:spacing w:before="0" w:after="0"/>
            </w:pPr>
            <w:r>
              <w:rPr>
                <w:rFonts w:ascii="Times New Roman" w:hAnsi="Times New Roman" w:eastAsia="宋体"/>
                <w:b w:val="0"/>
                <w:color w:val="1A1A1A"/>
                <w:sz w:val="24"/>
              </w:rPr>
              <w:t>U 系列相机自动配：接入盒（每 3 台 1 盒）、防水电缆（1 根/台）、水下固定套件、蓝光 450nm 标记点与校准套件</w:t>
            </w:r>
          </w:p>
        </w:tc>
      </w:tr>
      <w:tr>
        <w:tc>
          <w:tcPr>
            <w:tcW w:type="dxa" w:w="1928"/>
          </w:tcPr>
          <w:p>
            <w:pPr>
              <w:spacing w:before="0" w:after="0"/>
            </w:pPr>
            <w:r>
              <w:rPr>
                <w:rFonts w:ascii="Times New Roman" w:hAnsi="Times New Roman" w:eastAsia="宋体"/>
                <w:b w:val="0"/>
                <w:color w:val="1A1A1A"/>
                <w:sz w:val="24"/>
              </w:rPr>
              <w:t>网线数量</w:t>
            </w:r>
          </w:p>
        </w:tc>
        <w:tc>
          <w:tcPr>
            <w:tcW w:type="dxa" w:w="6009"/>
          </w:tcPr>
          <w:p>
            <w:pPr>
              <w:spacing w:before="0" w:after="0"/>
            </w:pPr>
            <w:r>
              <w:rPr>
                <w:rFonts w:ascii="Times New Roman" w:hAnsi="Times New Roman" w:eastAsia="宋体"/>
                <w:b w:val="0"/>
                <w:color w:val="1A1A1A"/>
                <w:sz w:val="24"/>
              </w:rPr>
              <w:t>相机+参考相机+服务器+同步机+交换机，另备 2 根</w:t>
            </w:r>
          </w:p>
        </w:tc>
      </w:tr>
    </w:tbl>
    <w:p/>
    <w:p>
      <w:pPr>
        <w:pStyle w:val="Heading1"/>
        <w:spacing w:before="0" w:after="0" w:line="360" w:lineRule="auto"/>
      </w:pPr>
      <w:r>
        <w:rPr>
          <w:rFonts w:ascii="Times New Roman" w:hAnsi="Times New Roman" w:eastAsia="宋体"/>
          <w:b/>
          <w:color w:val="1A1A1A"/>
          <w:sz w:val="28"/>
        </w:rPr>
        <w:t>六、常见问题</w:t>
      </w:r>
    </w:p>
    <w:p>
      <w:pPr>
        <w:spacing w:before="0" w:after="0" w:line="360" w:lineRule="auto"/>
        <w:ind w:left="480"/>
      </w:pPr>
      <w:r>
        <w:rPr>
          <w:rFonts w:ascii="Times New Roman" w:hAnsi="Times New Roman" w:eastAsia="宋体"/>
          <w:b w:val="0"/>
          <w:color w:val="1A1A1A"/>
          <w:sz w:val="24"/>
        </w:rPr>
        <w:t>• 目录页码不显示？——报告目录为 Word 引用目录，打开文档时选择“是”更新域，或全选后按 F9 刷新；</w:t>
      </w:r>
    </w:p>
    <w:p>
      <w:pPr>
        <w:spacing w:before="0" w:after="0" w:line="360" w:lineRule="auto"/>
        <w:ind w:left="480"/>
      </w:pPr>
      <w:r>
        <w:rPr>
          <w:rFonts w:ascii="Times New Roman" w:hAnsi="Times New Roman" w:eastAsia="宋体"/>
          <w:b w:val="0"/>
          <w:color w:val="1A1A1A"/>
          <w:sz w:val="24"/>
        </w:rPr>
        <w:t>• 想改某个指标或段落？——直接在 Word 中编辑即可，目录按 F9 重新生成；</w:t>
      </w:r>
    </w:p>
    <w:p>
      <w:pPr>
        <w:spacing w:before="0" w:after="0" w:line="360" w:lineRule="auto"/>
        <w:ind w:left="480"/>
      </w:pPr>
      <w:r>
        <w:rPr>
          <w:rFonts w:ascii="Times New Roman" w:hAnsi="Times New Roman" w:eastAsia="宋体"/>
          <w:b w:val="0"/>
          <w:color w:val="1A1A1A"/>
          <w:sz w:val="24"/>
        </w:rPr>
        <w:t>• 相机产品图缺失？——确认软件目录 assets 文件夹完整，缺失图片会自动跳过不影响生成；</w:t>
      </w:r>
    </w:p>
    <w:p>
      <w:pPr>
        <w:spacing w:before="0" w:after="0" w:line="360" w:lineRule="auto"/>
        <w:ind w:left="480"/>
      </w:pPr>
      <w:r>
        <w:rPr>
          <w:rFonts w:ascii="Times New Roman" w:hAnsi="Times New Roman" w:eastAsia="宋体"/>
          <w:b w:val="0"/>
          <w:color w:val="1A1A1A"/>
          <w:sz w:val="24"/>
        </w:rPr>
        <w:t>• 生成失败/按钮无响应？——先关闭所有正在占用 output 目录中文件的 Word 窗口再重试；仍失败请联系方案工具维护同事并附上表单填写内容；</w:t>
      </w:r>
    </w:p>
    <w:p>
      <w:pPr>
        <w:spacing w:before="0" w:after="0" w:line="360" w:lineRule="auto"/>
        <w:ind w:left="480"/>
      </w:pPr>
      <w:r>
        <w:rPr>
          <w:rFonts w:ascii="Times New Roman" w:hAnsi="Times New Roman" w:eastAsia="宋体"/>
          <w:b w:val="0"/>
          <w:color w:val="1A1A1A"/>
          <w:sz w:val="24"/>
        </w:rPr>
        <w:t>• 需要报价？——清单不含价格，报价请走公司商务流程。</w:t>
      </w:r>
    </w:p>
    <w:sectPr w:rsidR="00FC693F" w:rsidRPr="0006063C" w:rsidSect="00034616">
      <w:headerReference w:type="default" r:id="rId9"/>
      <w:pgSz w:w="12240" w:h="15840"/>
      <w:pgMar w:top="1440" w:right="1701" w:bottom="1440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152000" cy="22868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22868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