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52" w:rsidRDefault="002A7A52" w:rsidP="00563035">
      <w:pPr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ESI 5359</w:t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2A7A52" w:rsidRDefault="002A7A5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Chapter 5 Homework</w:t>
      </w: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Default="00087F62" w:rsidP="00563035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87F62" w:rsidRPr="002F4926" w:rsidRDefault="002F4926" w:rsidP="00563035">
      <w:pPr>
        <w:jc w:val="left"/>
        <w:rPr>
          <w:rFonts w:ascii="Times New Roman" w:hAnsi="Times New Roman" w:cs="Times New Roman"/>
          <w:b/>
          <w:sz w:val="36"/>
          <w:szCs w:val="36"/>
        </w:rPr>
      </w:pPr>
      <w:r w:rsidRPr="00FB1D87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2F492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B1D87">
        <w:rPr>
          <w:rFonts w:ascii="Times New Roman" w:hAnsi="Times New Roman" w:cs="Times New Roman"/>
          <w:b/>
          <w:sz w:val="28"/>
          <w:szCs w:val="28"/>
        </w:rPr>
        <w:t>Suppose that you were given the following data for past excess quarterly returns for</w:t>
      </w:r>
      <w:r w:rsidRPr="00FB1D87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FB1D87">
        <w:rPr>
          <w:rFonts w:ascii="Times New Roman" w:hAnsi="Times New Roman" w:cs="Times New Roman"/>
          <w:b/>
          <w:sz w:val="28"/>
          <w:szCs w:val="28"/>
        </w:rPr>
        <w:t>Markese</w:t>
      </w:r>
      <w:proofErr w:type="spellEnd"/>
      <w:r w:rsidRPr="00FB1D87">
        <w:rPr>
          <w:rFonts w:ascii="Times New Roman" w:hAnsi="Times New Roman" w:cs="Times New Roman"/>
          <w:b/>
          <w:sz w:val="28"/>
          <w:szCs w:val="28"/>
        </w:rPr>
        <w:t xml:space="preserve"> Imports, Inc., and for the market portfolio:</w:t>
      </w:r>
    </w:p>
    <w:p w:rsidR="002C09BD" w:rsidRDefault="002C09BD" w:rsidP="00563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b/>
                <w:sz w:val="24"/>
                <w:szCs w:val="24"/>
              </w:rPr>
              <w:t>QUARTER</w:t>
            </w:r>
          </w:p>
        </w:tc>
        <w:tc>
          <w:tcPr>
            <w:tcW w:w="2765" w:type="dxa"/>
          </w:tcPr>
          <w:p w:rsidR="004F42AF" w:rsidRPr="005E3741" w:rsidRDefault="004F42AF" w:rsidP="00563035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E374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EXCESS RETURNS</w:t>
            </w:r>
          </w:p>
          <w:p w:rsidR="004F42AF" w:rsidRPr="005E3741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74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MARKESE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EXCESS RETURNS</w:t>
            </w:r>
          </w:p>
          <w:p w:rsidR="004F42AF" w:rsidRPr="004F42AF" w:rsidRDefault="004F42AF" w:rsidP="005630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MARKET PORTFOLIO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</w:tr>
      <w:tr w:rsidR="004F42AF" w:rsidRPr="004F42AF" w:rsidTr="004F42AF"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65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766" w:type="dxa"/>
          </w:tcPr>
          <w:p w:rsidR="004F42AF" w:rsidRPr="004F42AF" w:rsidRDefault="004F42AF" w:rsidP="0056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2AF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4F42AF" w:rsidRPr="004F42AF" w:rsidRDefault="004F42AF" w:rsidP="00563035">
      <w:pPr>
        <w:rPr>
          <w:rFonts w:ascii="Times New Roman" w:hAnsi="Times New Roman" w:cs="Times New Roman"/>
          <w:sz w:val="24"/>
          <w:szCs w:val="24"/>
        </w:rPr>
      </w:pPr>
    </w:p>
    <w:p w:rsidR="004F42AF" w:rsidRPr="004F42AF" w:rsidRDefault="004F42AF" w:rsidP="00563035">
      <w:pPr>
        <w:rPr>
          <w:rFonts w:ascii="Times New Roman" w:hAnsi="Times New Roman" w:cs="Times New Roman"/>
          <w:sz w:val="24"/>
          <w:szCs w:val="24"/>
        </w:rPr>
      </w:pPr>
    </w:p>
    <w:p w:rsidR="00FB1D87" w:rsidRDefault="004F42AF" w:rsidP="00563035">
      <w:pPr>
        <w:rPr>
          <w:rFonts w:ascii="Times New Roman" w:hAnsi="Times New Roman" w:cs="Times New Roman"/>
          <w:b/>
          <w:sz w:val="24"/>
          <w:szCs w:val="24"/>
        </w:rPr>
      </w:pPr>
      <w:r w:rsidRPr="004F42AF">
        <w:rPr>
          <w:rFonts w:ascii="Times New Roman" w:hAnsi="Times New Roman" w:cs="Times New Roman"/>
          <w:b/>
          <w:sz w:val="24"/>
          <w:szCs w:val="24"/>
        </w:rPr>
        <w:t>On the basis of this information, graph the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between the two sets of excess </w:t>
      </w:r>
      <w:r w:rsidRPr="004F42AF">
        <w:rPr>
          <w:rFonts w:ascii="Times New Roman" w:hAnsi="Times New Roman" w:cs="Times New Roman"/>
          <w:b/>
          <w:sz w:val="24"/>
          <w:szCs w:val="24"/>
        </w:rPr>
        <w:t>returns and draw a characteristic line. What is the app</w:t>
      </w:r>
      <w:r>
        <w:rPr>
          <w:rFonts w:ascii="Times New Roman" w:hAnsi="Times New Roman" w:cs="Times New Roman"/>
          <w:b/>
          <w:sz w:val="24"/>
          <w:szCs w:val="24"/>
        </w:rPr>
        <w:t>roximate beta? What can you say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F42AF">
        <w:rPr>
          <w:rFonts w:ascii="Times New Roman" w:hAnsi="Times New Roman" w:cs="Times New Roman"/>
          <w:b/>
          <w:sz w:val="24"/>
          <w:szCs w:val="24"/>
        </w:rPr>
        <w:t>about the systematic risk of the stock, based on past experience?</w:t>
      </w:r>
    </w:p>
    <w:p w:rsidR="00FB1D87" w:rsidRDefault="00FB1D87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</w:p>
    <w:p w:rsidR="00FB1D87" w:rsidRDefault="00FB1D87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</w:p>
    <w:p w:rsidR="00FB1D87" w:rsidRDefault="00FB1D87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</w:p>
    <w:p w:rsidR="00FB1D87" w:rsidRDefault="00FB1D87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</w:p>
    <w:p w:rsidR="00FB1D87" w:rsidRDefault="00D9489F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834390</wp:posOffset>
                </wp:positionV>
                <wp:extent cx="4238625" cy="161925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B0C3" id="直接连接符 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65.7pt" to="376.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A53688">
        <w:rPr>
          <w:noProof/>
        </w:rPr>
        <w:drawing>
          <wp:inline distT="0" distB="0" distL="0" distR="0" wp14:anchorId="30307934" wp14:editId="4EA68965">
            <wp:extent cx="5191125" cy="321945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5A38" w:rsidRDefault="00B35A38" w:rsidP="00563035">
      <w:pPr>
        <w:ind w:right="960"/>
        <w:jc w:val="left"/>
        <w:rPr>
          <w:rFonts w:ascii="Times New Roman" w:hAnsi="Times New Roman" w:cs="Times New Roman"/>
          <w:sz w:val="24"/>
          <w:szCs w:val="24"/>
        </w:rPr>
      </w:pPr>
    </w:p>
    <w:p w:rsidR="00B35A38" w:rsidRDefault="00B35A38" w:rsidP="00563035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  <w:r w:rsidRPr="00563035">
        <w:rPr>
          <w:rFonts w:ascii="Times New Roman" w:hAnsi="Times New Roman" w:cs="Times New Roman" w:hint="eastAsia"/>
          <w:sz w:val="28"/>
          <w:szCs w:val="28"/>
        </w:rPr>
        <w:t xml:space="preserve">From the </w:t>
      </w:r>
      <w:r w:rsidRPr="00563035">
        <w:rPr>
          <w:rFonts w:ascii="Times New Roman" w:hAnsi="Times New Roman" w:cs="Times New Roman"/>
          <w:sz w:val="28"/>
          <w:szCs w:val="28"/>
        </w:rPr>
        <w:t xml:space="preserve">figure, we can find that Beta is almost 0.5, less than 1.0, so </w:t>
      </w:r>
      <w:r w:rsidR="00DB55E9" w:rsidRPr="00563035">
        <w:rPr>
          <w:rFonts w:ascii="Times New Roman" w:hAnsi="Times New Roman" w:cs="Times New Roman"/>
          <w:sz w:val="28"/>
          <w:szCs w:val="28"/>
        </w:rPr>
        <w:t xml:space="preserve">the stock’s excess return varies less than proportionally with the excess return of the market portfolio, </w:t>
      </w:r>
      <w:r w:rsidRPr="00563035">
        <w:rPr>
          <w:rFonts w:ascii="Times New Roman" w:hAnsi="Times New Roman" w:cs="Times New Roman"/>
          <w:sz w:val="28"/>
          <w:szCs w:val="28"/>
        </w:rPr>
        <w:t>it is a defensive investment.</w:t>
      </w:r>
    </w:p>
    <w:p w:rsidR="00563035" w:rsidRDefault="00563035" w:rsidP="00563035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Pr="00563035" w:rsidRDefault="00563035" w:rsidP="00563035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</w:p>
    <w:p w:rsidR="00DB55E9" w:rsidRDefault="00DB55E9" w:rsidP="00563035">
      <w:pPr>
        <w:ind w:right="9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53688">
        <w:rPr>
          <w:rFonts w:ascii="Times New Roman" w:hAnsi="Times New Roman" w:cs="Times New Roman"/>
          <w:b/>
          <w:sz w:val="28"/>
          <w:szCs w:val="28"/>
        </w:rPr>
        <w:t>6. Currently, the risk-free rate is 10 percent and the expected</w:t>
      </w:r>
      <w:r w:rsidRPr="00A53688">
        <w:rPr>
          <w:rFonts w:ascii="Times New Roman" w:hAnsi="Times New Roman" w:cs="Times New Roman"/>
          <w:b/>
          <w:sz w:val="28"/>
          <w:szCs w:val="28"/>
        </w:rPr>
        <w:t xml:space="preserve"> return on the market portfolio</w:t>
      </w:r>
      <w:r w:rsidRPr="00A5368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A53688" w:rsidRPr="00A53688">
        <w:rPr>
          <w:rFonts w:ascii="Times New Roman" w:hAnsi="Times New Roman" w:cs="Times New Roman"/>
          <w:b/>
          <w:sz w:val="28"/>
          <w:szCs w:val="28"/>
        </w:rPr>
        <w:t xml:space="preserve">is 15 percent. Market </w:t>
      </w:r>
      <w:r w:rsidRPr="00A53688">
        <w:rPr>
          <w:rFonts w:ascii="Times New Roman" w:hAnsi="Times New Roman" w:cs="Times New Roman"/>
          <w:b/>
          <w:sz w:val="28"/>
          <w:szCs w:val="28"/>
        </w:rPr>
        <w:t>analysts’ return expectations f</w:t>
      </w:r>
      <w:r w:rsidRPr="00A53688">
        <w:rPr>
          <w:rFonts w:ascii="Times New Roman" w:hAnsi="Times New Roman" w:cs="Times New Roman"/>
          <w:b/>
          <w:sz w:val="28"/>
          <w:szCs w:val="28"/>
        </w:rPr>
        <w:t>or four stocks are listed here,</w:t>
      </w:r>
      <w:r w:rsidRPr="00A5368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A53688">
        <w:rPr>
          <w:rFonts w:ascii="Times New Roman" w:hAnsi="Times New Roman" w:cs="Times New Roman"/>
          <w:b/>
          <w:sz w:val="28"/>
          <w:szCs w:val="28"/>
        </w:rPr>
        <w:t>together with each stock’s expected beta.</w:t>
      </w:r>
    </w:p>
    <w:p w:rsidR="00563035" w:rsidRPr="00A53688" w:rsidRDefault="00563035" w:rsidP="00563035">
      <w:pPr>
        <w:ind w:right="96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A53688" w:rsidRPr="00A53688" w:rsidRDefault="00A53688" w:rsidP="00563035">
      <w:pPr>
        <w:ind w:right="960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8369" w:type="dxa"/>
        <w:tblLook w:val="04A0" w:firstRow="1" w:lastRow="0" w:firstColumn="1" w:lastColumn="0" w:noHBand="0" w:noVBand="1"/>
      </w:tblPr>
      <w:tblGrid>
        <w:gridCol w:w="3807"/>
        <w:gridCol w:w="2281"/>
        <w:gridCol w:w="2281"/>
      </w:tblGrid>
      <w:tr w:rsidR="00DB55E9" w:rsidTr="00A53688">
        <w:trPr>
          <w:trHeight w:val="700"/>
        </w:trPr>
        <w:tc>
          <w:tcPr>
            <w:tcW w:w="3807" w:type="dxa"/>
          </w:tcPr>
          <w:p w:rsidR="00DB55E9" w:rsidRPr="00A53688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A5368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Stock</w:t>
            </w:r>
          </w:p>
        </w:tc>
        <w:tc>
          <w:tcPr>
            <w:tcW w:w="2281" w:type="dxa"/>
          </w:tcPr>
          <w:p w:rsidR="00DB55E9" w:rsidRPr="00A53688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A5368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</w:t>
            </w:r>
            <w:r w:rsidRPr="00A536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xpected Return </w:t>
            </w:r>
          </w:p>
        </w:tc>
        <w:tc>
          <w:tcPr>
            <w:tcW w:w="2281" w:type="dxa"/>
          </w:tcPr>
          <w:p w:rsidR="00DB55E9" w:rsidRPr="00A53688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A5368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</w:t>
            </w:r>
            <w:r w:rsidRPr="00A53688">
              <w:rPr>
                <w:rFonts w:ascii="Times New Roman" w:hAnsi="Times New Roman" w:cs="Times New Roman"/>
                <w:b/>
                <w:sz w:val="24"/>
                <w:szCs w:val="24"/>
              </w:rPr>
              <w:t>xpected Beta</w:t>
            </w:r>
          </w:p>
        </w:tc>
      </w:tr>
      <w:tr w:rsidR="00DB55E9" w:rsidTr="00DB55E9">
        <w:trPr>
          <w:trHeight w:val="597"/>
        </w:trPr>
        <w:tc>
          <w:tcPr>
            <w:tcW w:w="3807" w:type="dxa"/>
          </w:tcPr>
          <w:p w:rsidR="00DB55E9" w:rsidRP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DB55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Stillman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Zinc </w:t>
            </w:r>
            <w:r w:rsidRPr="00DB55E9">
              <w:rPr>
                <w:rFonts w:ascii="Times New Roman" w:hAnsi="Times New Roman" w:cs="Times New Roman"/>
                <w:b/>
                <w:sz w:val="24"/>
                <w:szCs w:val="24"/>
              </w:rPr>
              <w:t>Corporation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17.0%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1.3</w:t>
            </w:r>
          </w:p>
        </w:tc>
      </w:tr>
      <w:tr w:rsidR="00DB55E9" w:rsidTr="00DB55E9">
        <w:trPr>
          <w:trHeight w:val="597"/>
        </w:trPr>
        <w:tc>
          <w:tcPr>
            <w:tcW w:w="3807" w:type="dxa"/>
          </w:tcPr>
          <w:p w:rsidR="00DB55E9" w:rsidRP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DB55E9">
              <w:rPr>
                <w:rFonts w:ascii="Times New Roman" w:hAnsi="Times New Roman" w:cs="Times New Roman"/>
                <w:b/>
                <w:sz w:val="24"/>
                <w:szCs w:val="24"/>
              </w:rPr>
              <w:t>Union Paint Company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14.5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0.8</w:t>
            </w:r>
          </w:p>
        </w:tc>
      </w:tr>
      <w:tr w:rsidR="00DB55E9" w:rsidTr="00DB55E9">
        <w:trPr>
          <w:trHeight w:val="612"/>
        </w:trPr>
        <w:tc>
          <w:tcPr>
            <w:tcW w:w="3807" w:type="dxa"/>
          </w:tcPr>
          <w:p w:rsidR="00DB55E9" w:rsidRP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3.National </w:t>
            </w:r>
            <w:r w:rsidRPr="00DB55E9">
              <w:rPr>
                <w:rFonts w:ascii="Times New Roman" w:hAnsi="Times New Roman" w:cs="Times New Roman"/>
                <w:b/>
                <w:sz w:val="24"/>
                <w:szCs w:val="24"/>
              </w:rPr>
              <w:t>Automobile Company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15.5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1.1</w:t>
            </w:r>
          </w:p>
        </w:tc>
      </w:tr>
      <w:tr w:rsidR="00DB55E9" w:rsidTr="00DB55E9">
        <w:trPr>
          <w:trHeight w:val="597"/>
        </w:trPr>
        <w:tc>
          <w:tcPr>
            <w:tcW w:w="3807" w:type="dxa"/>
          </w:tcPr>
          <w:p w:rsidR="00DB55E9" w:rsidRP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4.Parker Electronics, </w:t>
            </w:r>
            <w:r w:rsidRPr="00DB55E9">
              <w:rPr>
                <w:rFonts w:ascii="Times New Roman" w:hAnsi="Times New Roman" w:cs="Times New Roman"/>
                <w:b/>
                <w:sz w:val="24"/>
                <w:szCs w:val="24"/>
              </w:rPr>
              <w:t>Inc.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18.0</w:t>
            </w:r>
          </w:p>
        </w:tc>
        <w:tc>
          <w:tcPr>
            <w:tcW w:w="2281" w:type="dxa"/>
          </w:tcPr>
          <w:p w:rsidR="00DB55E9" w:rsidRDefault="00DB55E9" w:rsidP="00563035">
            <w:pPr>
              <w:ind w:right="960"/>
              <w:jc w:val="left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1.7</w:t>
            </w:r>
          </w:p>
        </w:tc>
      </w:tr>
    </w:tbl>
    <w:p w:rsidR="00DB55E9" w:rsidRDefault="00DB55E9" w:rsidP="00563035">
      <w:pPr>
        <w:pStyle w:val="a4"/>
        <w:numPr>
          <w:ilvl w:val="0"/>
          <w:numId w:val="1"/>
        </w:numPr>
        <w:ind w:right="96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63035">
        <w:rPr>
          <w:rFonts w:ascii="Times New Roman" w:hAnsi="Times New Roman" w:cs="Times New Roman"/>
          <w:b/>
          <w:sz w:val="28"/>
          <w:szCs w:val="28"/>
        </w:rPr>
        <w:t>If the analysts’ expectations are correct, which stocks</w:t>
      </w:r>
      <w:r w:rsidRPr="00563035">
        <w:rPr>
          <w:rFonts w:ascii="Times New Roman" w:hAnsi="Times New Roman" w:cs="Times New Roman"/>
          <w:b/>
          <w:sz w:val="28"/>
          <w:szCs w:val="28"/>
        </w:rPr>
        <w:t xml:space="preserve"> (if any) are overvalued? Which</w:t>
      </w:r>
      <w:r w:rsidRPr="00563035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563035">
        <w:rPr>
          <w:rFonts w:ascii="Times New Roman" w:hAnsi="Times New Roman" w:cs="Times New Roman"/>
          <w:b/>
          <w:sz w:val="28"/>
          <w:szCs w:val="28"/>
        </w:rPr>
        <w:t>(if any) are undervalued?</w:t>
      </w:r>
    </w:p>
    <w:p w:rsidR="00563035" w:rsidRP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B55E9" w:rsidRDefault="00D9489F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609601</wp:posOffset>
                </wp:positionH>
                <wp:positionV relativeFrom="paragraph">
                  <wp:posOffset>386079</wp:posOffset>
                </wp:positionV>
                <wp:extent cx="3962400" cy="208597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8A05" id="直接连接符 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30.4pt" to="5in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21AAB37" wp14:editId="14274608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489F" w:rsidRDefault="002B6997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63035">
        <w:rPr>
          <w:rFonts w:ascii="Times New Roman" w:hAnsi="Times New Roman" w:cs="Times New Roman"/>
          <w:sz w:val="28"/>
          <w:szCs w:val="28"/>
        </w:rPr>
        <w:t>This graphic is under that risk-free rate is 10 percent and the expected return on the market portfolio is 15 percent. Its shows that Stock 1 and 2 are undervalued. Stock 3 is valued. Stock 4 is overvalued.</w:t>
      </w:r>
    </w:p>
    <w:p w:rsidR="00563035" w:rsidRP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2B6997" w:rsidRDefault="002B6997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B6997" w:rsidRDefault="002B6997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B6997" w:rsidRDefault="002B6997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B6997" w:rsidRDefault="00563035" w:rsidP="00563035">
      <w:pPr>
        <w:pStyle w:val="a4"/>
        <w:numPr>
          <w:ilvl w:val="0"/>
          <w:numId w:val="1"/>
        </w:numPr>
        <w:ind w:right="96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63035">
        <w:rPr>
          <w:rFonts w:ascii="Times New Roman" w:hAnsi="Times New Roman" w:cs="Times New Roman"/>
          <w:b/>
          <w:sz w:val="28"/>
          <w:szCs w:val="28"/>
        </w:rPr>
        <w:lastRenderedPageBreak/>
        <w:t>If the risk-free rate were suddenly to rise to 12 percent and the expected return on the</w:t>
      </w:r>
      <w:r>
        <w:rPr>
          <w:rFonts w:ascii="Times New Roman" w:hAnsi="Times New Roman" w:cs="Times New Roman"/>
          <w:b/>
          <w:sz w:val="28"/>
          <w:szCs w:val="28"/>
        </w:rPr>
        <w:t xml:space="preserve"> market portfolio to 16 </w:t>
      </w:r>
      <w:r w:rsidRPr="00563035">
        <w:rPr>
          <w:rFonts w:ascii="Times New Roman" w:hAnsi="Times New Roman" w:cs="Times New Roman"/>
          <w:b/>
          <w:sz w:val="28"/>
          <w:szCs w:val="28"/>
        </w:rPr>
        <w:t>percent, which stock</w:t>
      </w:r>
      <w:r>
        <w:rPr>
          <w:rFonts w:ascii="Times New Roman" w:hAnsi="Times New Roman" w:cs="Times New Roman"/>
          <w:b/>
          <w:sz w:val="28"/>
          <w:szCs w:val="28"/>
        </w:rPr>
        <w:t xml:space="preserve">s (if any) would be overvalued? Which (if </w:t>
      </w:r>
      <w:r w:rsidRPr="00563035">
        <w:rPr>
          <w:rFonts w:ascii="Times New Roman" w:hAnsi="Times New Roman" w:cs="Times New Roman"/>
          <w:b/>
          <w:sz w:val="28"/>
          <w:szCs w:val="28"/>
        </w:rPr>
        <w:t>any) under</w:t>
      </w:r>
      <w:r>
        <w:rPr>
          <w:rFonts w:ascii="Times New Roman" w:hAnsi="Times New Roman" w:cs="Times New Roman"/>
          <w:b/>
          <w:sz w:val="28"/>
          <w:szCs w:val="28"/>
        </w:rPr>
        <w:t xml:space="preserve">valued? (Assume that the market </w:t>
      </w:r>
      <w:r w:rsidRPr="00563035">
        <w:rPr>
          <w:rFonts w:ascii="Times New Roman" w:hAnsi="Times New Roman" w:cs="Times New Roman"/>
          <w:b/>
          <w:sz w:val="28"/>
          <w:szCs w:val="28"/>
        </w:rPr>
        <w:t>analysts’ r</w:t>
      </w:r>
      <w:r>
        <w:rPr>
          <w:rFonts w:ascii="Times New Roman" w:hAnsi="Times New Roman" w:cs="Times New Roman"/>
          <w:b/>
          <w:sz w:val="28"/>
          <w:szCs w:val="28"/>
        </w:rPr>
        <w:t xml:space="preserve">eturn and beta expectations for </w:t>
      </w:r>
      <w:r w:rsidRPr="00563035">
        <w:rPr>
          <w:rFonts w:ascii="Times New Roman" w:hAnsi="Times New Roman" w:cs="Times New Roman"/>
          <w:b/>
          <w:sz w:val="28"/>
          <w:szCs w:val="28"/>
        </w:rPr>
        <w:t>our four stocks stay the same.)</w:t>
      </w: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394335</wp:posOffset>
                </wp:positionV>
                <wp:extent cx="3933825" cy="205740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2488" id="直接连接符 10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31.05pt" to="359.2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64D3F11" wp14:editId="2C792640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63035">
        <w:rPr>
          <w:rFonts w:ascii="Times New Roman" w:hAnsi="Times New Roman" w:cs="Times New Roman"/>
          <w:sz w:val="28"/>
          <w:szCs w:val="28"/>
        </w:rPr>
        <w:t>This graphic is</w:t>
      </w:r>
      <w:r>
        <w:rPr>
          <w:rFonts w:ascii="Times New Roman" w:hAnsi="Times New Roman" w:cs="Times New Roman"/>
          <w:sz w:val="28"/>
          <w:szCs w:val="28"/>
        </w:rPr>
        <w:t xml:space="preserve"> under that risk-free rate is 12</w:t>
      </w:r>
      <w:r w:rsidRPr="00563035">
        <w:rPr>
          <w:rFonts w:ascii="Times New Roman" w:hAnsi="Times New Roman" w:cs="Times New Roman"/>
          <w:sz w:val="28"/>
          <w:szCs w:val="28"/>
        </w:rPr>
        <w:t xml:space="preserve"> percent and the expected retu</w:t>
      </w:r>
      <w:r>
        <w:rPr>
          <w:rFonts w:ascii="Times New Roman" w:hAnsi="Times New Roman" w:cs="Times New Roman"/>
          <w:sz w:val="28"/>
          <w:szCs w:val="28"/>
        </w:rPr>
        <w:t>rn on the market portfolio is 16</w:t>
      </w:r>
      <w:r w:rsidRPr="00563035">
        <w:rPr>
          <w:rFonts w:ascii="Times New Roman" w:hAnsi="Times New Roman" w:cs="Times New Roman"/>
          <w:sz w:val="28"/>
          <w:szCs w:val="28"/>
        </w:rPr>
        <w:t xml:space="preserve"> percent.</w:t>
      </w:r>
      <w:r>
        <w:rPr>
          <w:rFonts w:ascii="Times New Roman" w:hAnsi="Times New Roman" w:cs="Times New Roman"/>
          <w:sz w:val="28"/>
          <w:szCs w:val="28"/>
        </w:rPr>
        <w:t xml:space="preserve"> It shows that all stocks are overvalued. </w:t>
      </w: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563035" w:rsidRDefault="00563035" w:rsidP="00563035">
      <w:pPr>
        <w:pStyle w:val="a4"/>
        <w:ind w:left="360" w:right="960" w:firstLineChars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630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The following </w:t>
      </w:r>
      <w:r>
        <w:rPr>
          <w:rFonts w:ascii="Times New Roman" w:hAnsi="Times New Roman" w:cs="Times New Roman"/>
          <w:b/>
          <w:sz w:val="28"/>
          <w:szCs w:val="28"/>
        </w:rPr>
        <w:t xml:space="preserve">common stocks are available for </w:t>
      </w:r>
      <w:r w:rsidRPr="00563035">
        <w:rPr>
          <w:rFonts w:ascii="Times New Roman" w:hAnsi="Times New Roman" w:cs="Times New Roman"/>
          <w:b/>
          <w:sz w:val="28"/>
          <w:szCs w:val="28"/>
        </w:rPr>
        <w:t>investment:</w:t>
      </w:r>
    </w:p>
    <w:tbl>
      <w:tblPr>
        <w:tblStyle w:val="a3"/>
        <w:tblW w:w="785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589"/>
        <w:gridCol w:w="2268"/>
      </w:tblGrid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COMMON STOCK </w:t>
            </w:r>
          </w:p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(Ticker Symbol)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100" w:firstLine="241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BETA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Nanyang Business Systems (NBS)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1.40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Yunnan Garden Supply, Inc. (YUWHO)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0.80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Bird Nest Soups Company (SLURP)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0.60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Wacho.com! (WACHO)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1.80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Park City Cola Company (BURP)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1.05</w:t>
            </w:r>
          </w:p>
        </w:tc>
      </w:tr>
      <w:tr w:rsidR="00563035" w:rsidTr="00563035">
        <w:tc>
          <w:tcPr>
            <w:tcW w:w="5589" w:type="dxa"/>
          </w:tcPr>
          <w:p w:rsidR="00563035" w:rsidRPr="0091295D" w:rsidRDefault="00563035" w:rsidP="00563035">
            <w:pPr>
              <w:pStyle w:val="a4"/>
              <w:tabs>
                <w:tab w:val="left" w:pos="3450"/>
              </w:tabs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/>
                <w:b/>
                <w:sz w:val="24"/>
                <w:szCs w:val="24"/>
              </w:rPr>
              <w:t>Oldies Records, Ltd. (SHABOOM)</w:t>
            </w:r>
          </w:p>
        </w:tc>
        <w:tc>
          <w:tcPr>
            <w:tcW w:w="2268" w:type="dxa"/>
          </w:tcPr>
          <w:p w:rsidR="00563035" w:rsidRPr="0091295D" w:rsidRDefault="00563035" w:rsidP="00563035">
            <w:pPr>
              <w:pStyle w:val="a4"/>
              <w:ind w:right="960" w:firstLineChars="0" w:firstLine="0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295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0.90</w:t>
            </w:r>
          </w:p>
        </w:tc>
      </w:tr>
    </w:tbl>
    <w:p w:rsidR="0091295D" w:rsidRDefault="0091295D" w:rsidP="0091295D">
      <w:pPr>
        <w:ind w:left="360" w:right="96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91295D" w:rsidRPr="0091295D" w:rsidRDefault="0091295D" w:rsidP="0091295D">
      <w:pPr>
        <w:ind w:left="360" w:right="960"/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563035" w:rsidRDefault="00563035" w:rsidP="008C2C10">
      <w:pPr>
        <w:pStyle w:val="a4"/>
        <w:numPr>
          <w:ilvl w:val="0"/>
          <w:numId w:val="2"/>
        </w:numPr>
        <w:ind w:right="96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63035">
        <w:rPr>
          <w:rFonts w:ascii="Times New Roman" w:hAnsi="Times New Roman" w:cs="Times New Roman"/>
          <w:b/>
          <w:sz w:val="28"/>
          <w:szCs w:val="28"/>
        </w:rPr>
        <w:t>If you invest 20 percent of your funds in each of the first four securities, and 10 percent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3035">
        <w:rPr>
          <w:rFonts w:ascii="Times New Roman" w:hAnsi="Times New Roman" w:cs="Times New Roman"/>
          <w:b/>
          <w:sz w:val="28"/>
          <w:szCs w:val="28"/>
        </w:rPr>
        <w:t>in each of the last two, what is the beta of your portfolio?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C2C1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beta of </w:t>
      </w:r>
      <w:r w:rsidRPr="008C2C10">
        <w:rPr>
          <w:rFonts w:ascii="Times New Roman" w:hAnsi="Times New Roman" w:cs="Times New Roman"/>
          <w:sz w:val="28"/>
          <w:szCs w:val="28"/>
        </w:rPr>
        <w:t>portfolio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C1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C2C10">
        <w:rPr>
          <w:rFonts w:ascii="Times New Roman" w:hAnsi="Times New Roman" w:cs="Times New Roman"/>
          <w:sz w:val="28"/>
          <w:szCs w:val="28"/>
        </w:rPr>
        <w:t>1.40+0.80+0.60+1.80)*0.2+(1.05+0.90)*0.1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=1.115</w:t>
      </w:r>
    </w:p>
    <w:p w:rsidR="008C2C10" w:rsidRDefault="008C2C10" w:rsidP="008C2C10">
      <w:pPr>
        <w:pStyle w:val="a4"/>
        <w:numPr>
          <w:ilvl w:val="0"/>
          <w:numId w:val="2"/>
        </w:numPr>
        <w:ind w:right="96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C2C10">
        <w:rPr>
          <w:rFonts w:ascii="Times New Roman" w:hAnsi="Times New Roman" w:cs="Times New Roman"/>
          <w:b/>
          <w:sz w:val="28"/>
          <w:szCs w:val="28"/>
        </w:rPr>
        <w:t xml:space="preserve">If the risk-free rate is 8 percent and the expected </w:t>
      </w:r>
      <w:proofErr w:type="gramStart"/>
      <w:r w:rsidRPr="008C2C10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8C2C10">
        <w:rPr>
          <w:rFonts w:ascii="Times New Roman" w:hAnsi="Times New Roman" w:cs="Times New Roman"/>
          <w:b/>
          <w:sz w:val="28"/>
          <w:szCs w:val="28"/>
        </w:rPr>
        <w:t xml:space="preserve"> on the market portfolio is</w:t>
      </w:r>
      <w:r w:rsidRPr="008C2C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C10">
        <w:rPr>
          <w:rFonts w:ascii="Times New Roman" w:hAnsi="Times New Roman" w:cs="Times New Roman"/>
          <w:b/>
          <w:sz w:val="28"/>
          <w:szCs w:val="28"/>
        </w:rPr>
        <w:t>14 percent, what will be the portfolio’s expected return?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=8</w:t>
      </w:r>
      <w:proofErr w:type="gramStart"/>
      <w:r>
        <w:rPr>
          <w:rFonts w:ascii="Times New Roman" w:hAnsi="Times New Roman" w:cs="Times New Roman"/>
          <w:sz w:val="28"/>
          <w:szCs w:val="28"/>
        </w:rPr>
        <w:t>%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>=14%  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>=1.115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portfolio’s expected return = </w:t>
      </w:r>
      <w:proofErr w:type="gramStart"/>
      <w:r>
        <w:rPr>
          <w:rFonts w:ascii="Times New Roman" w:hAnsi="Times New Roman" w:cs="Times New Roman"/>
          <w:sz w:val="28"/>
          <w:szCs w:val="28"/>
        </w:rPr>
        <w:t>8%</w:t>
      </w:r>
      <w:proofErr w:type="gramEnd"/>
      <w:r>
        <w:rPr>
          <w:rFonts w:ascii="Times New Roman" w:hAnsi="Times New Roman" w:cs="Times New Roman"/>
          <w:sz w:val="28"/>
          <w:szCs w:val="28"/>
        </w:rPr>
        <w:t>+(14%-8%)*1.115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= 14.69%</w:t>
      </w:r>
    </w:p>
    <w:p w:rsidR="008C2C10" w:rsidRDefault="008C2C10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91295D" w:rsidRDefault="0091295D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C2C10" w:rsidRPr="008C2C10" w:rsidRDefault="008C2C10" w:rsidP="0091295D">
      <w:pPr>
        <w:ind w:left="420" w:right="9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C2C10">
        <w:rPr>
          <w:rFonts w:ascii="Times New Roman" w:hAnsi="Times New Roman" w:cs="Times New Roman"/>
          <w:b/>
          <w:sz w:val="28"/>
          <w:szCs w:val="28"/>
        </w:rPr>
        <w:lastRenderedPageBreak/>
        <w:t>11. Common stocks</w:t>
      </w:r>
      <w:r>
        <w:rPr>
          <w:rFonts w:ascii="Times New Roman" w:hAnsi="Times New Roman" w:cs="Times New Roman"/>
          <w:b/>
          <w:sz w:val="28"/>
          <w:szCs w:val="28"/>
        </w:rPr>
        <w:t xml:space="preserve"> D, E, and F have the following </w:t>
      </w:r>
      <w:r w:rsidRPr="008C2C10">
        <w:rPr>
          <w:rFonts w:ascii="Times New Roman" w:hAnsi="Times New Roman" w:cs="Times New Roman"/>
          <w:b/>
          <w:sz w:val="28"/>
          <w:szCs w:val="28"/>
        </w:rPr>
        <w:t>characteristics with respect to expected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8C2C10">
        <w:rPr>
          <w:rFonts w:ascii="Times New Roman" w:hAnsi="Times New Roman" w:cs="Times New Roman"/>
          <w:b/>
          <w:sz w:val="28"/>
          <w:szCs w:val="28"/>
        </w:rPr>
        <w:t>return, standard deviation, and correlation between them:</w:t>
      </w:r>
    </w:p>
    <w:p w:rsidR="008C2C10" w:rsidRDefault="0091295D" w:rsidP="008C2C10">
      <w:pPr>
        <w:pStyle w:val="a4"/>
        <w:ind w:left="720" w:right="9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2B2C3" wp14:editId="0E70B02B">
            <wp:extent cx="5038725" cy="12591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29" cy="1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95D" w:rsidRDefault="0091295D" w:rsidP="0091295D">
      <w:pPr>
        <w:ind w:leftChars="200" w:left="420" w:right="9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1295D">
        <w:rPr>
          <w:rFonts w:ascii="Times New Roman" w:hAnsi="Times New Roman" w:cs="Times New Roman"/>
          <w:b/>
          <w:sz w:val="28"/>
          <w:szCs w:val="28"/>
        </w:rPr>
        <w:t>What is the expected return and standard deviation of a portfolio composed of 20 percent of</w:t>
      </w:r>
      <w:r w:rsidRPr="0091295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1295D">
        <w:rPr>
          <w:rFonts w:ascii="Times New Roman" w:hAnsi="Times New Roman" w:cs="Times New Roman"/>
          <w:b/>
          <w:sz w:val="28"/>
          <w:szCs w:val="28"/>
        </w:rPr>
        <w:t xml:space="preserve">funds invested in stock </w:t>
      </w:r>
      <w:r w:rsidRPr="0091295D">
        <w:rPr>
          <w:rFonts w:ascii="Times New Roman" w:hAnsi="Times New Roman" w:cs="Times New Roman"/>
          <w:b/>
          <w:sz w:val="28"/>
          <w:szCs w:val="28"/>
        </w:rPr>
        <w:t>D, 30 percent of funds in stoc</w:t>
      </w:r>
      <w:r w:rsidRPr="0091295D">
        <w:rPr>
          <w:rFonts w:ascii="Times New Roman" w:hAnsi="Times New Roman" w:cs="Times New Roman"/>
          <w:b/>
          <w:sz w:val="28"/>
          <w:szCs w:val="28"/>
        </w:rPr>
        <w:t xml:space="preserve">k E, and 50 percent of funds in </w:t>
      </w:r>
      <w:r w:rsidRPr="0091295D">
        <w:rPr>
          <w:rFonts w:ascii="Times New Roman" w:hAnsi="Times New Roman" w:cs="Times New Roman"/>
          <w:b/>
          <w:sz w:val="28"/>
          <w:szCs w:val="28"/>
        </w:rPr>
        <w:t>stock F?</w:t>
      </w:r>
    </w:p>
    <w:p w:rsidR="0091295D" w:rsidRDefault="0091295D" w:rsidP="0091295D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The expected return = (0.2</w:t>
      </w:r>
      <w:proofErr w:type="gramStart"/>
      <w:r>
        <w:rPr>
          <w:rFonts w:ascii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</w:rPr>
        <w:t>0.08)+(0.3)(0.15)+(0.5)(0.12)</w:t>
      </w:r>
    </w:p>
    <w:p w:rsidR="0091295D" w:rsidRPr="0091295D" w:rsidRDefault="0091295D" w:rsidP="0091295D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0.121</w:t>
      </w:r>
    </w:p>
    <w:p w:rsidR="0091295D" w:rsidRPr="0091295D" w:rsidRDefault="0091295D" w:rsidP="0091295D">
      <w:pPr>
        <w:ind w:right="960"/>
        <w:jc w:val="left"/>
        <w:rPr>
          <w:rFonts w:ascii="Times New Roman" w:hAnsi="Times New Roman" w:cs="Times New Roman"/>
          <w:szCs w:val="21"/>
        </w:rPr>
      </w:pPr>
      <w:r w:rsidRPr="0091295D">
        <w:rPr>
          <w:rFonts w:ascii="Times New Roman" w:hAnsi="Times New Roman" w:cs="Times New Roman"/>
          <w:b/>
          <w:szCs w:val="21"/>
        </w:rPr>
        <w:t xml:space="preserve">   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2835"/>
        <w:gridCol w:w="2977"/>
      </w:tblGrid>
      <w:tr w:rsidR="0091295D" w:rsidRPr="0091295D" w:rsidTr="009A6DB5">
        <w:tc>
          <w:tcPr>
            <w:tcW w:w="421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76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Stock D</w:t>
            </w:r>
          </w:p>
        </w:tc>
        <w:tc>
          <w:tcPr>
            <w:tcW w:w="2835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Stock E</w:t>
            </w:r>
          </w:p>
        </w:tc>
        <w:tc>
          <w:tcPr>
            <w:tcW w:w="2977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Stock F</w:t>
            </w:r>
          </w:p>
        </w:tc>
      </w:tr>
      <w:tr w:rsidR="0091295D" w:rsidRPr="0091295D" w:rsidTr="009A6DB5">
        <w:tc>
          <w:tcPr>
            <w:tcW w:w="421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2976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/>
                <w:szCs w:val="21"/>
              </w:rPr>
              <w:t>(</w:t>
            </w:r>
            <w:r w:rsidRPr="0091295D">
              <w:rPr>
                <w:rFonts w:ascii="Times New Roman" w:hAnsi="Times New Roman" w:cs="Times New Roman" w:hint="eastAsia"/>
                <w:szCs w:val="21"/>
              </w:rPr>
              <w:t>0.2</w:t>
            </w:r>
            <w:r w:rsidRPr="0091295D">
              <w:rPr>
                <w:rFonts w:ascii="Times New Roman" w:hAnsi="Times New Roman" w:cs="Times New Roman"/>
                <w:szCs w:val="21"/>
              </w:rPr>
              <w:t>)</w:t>
            </w:r>
            <w:r w:rsidRPr="0091295D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 w:rsidRPr="0091295D">
              <w:rPr>
                <w:rFonts w:ascii="Times New Roman" w:hAnsi="Times New Roman" w:cs="Times New Roman"/>
                <w:szCs w:val="21"/>
              </w:rPr>
              <w:t>(1.0)(0.02)</w:t>
            </w:r>
            <w:r w:rsidRPr="0091295D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</w:p>
        </w:tc>
        <w:tc>
          <w:tcPr>
            <w:tcW w:w="2835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(0.2)(0.3)(0.4)</w:t>
            </w:r>
            <w:r>
              <w:rPr>
                <w:rFonts w:ascii="Times New Roman" w:hAnsi="Times New Roman" w:cs="Times New Roman"/>
                <w:szCs w:val="21"/>
              </w:rPr>
              <w:t>(0.02)(0.16)</w:t>
            </w:r>
          </w:p>
        </w:tc>
        <w:tc>
          <w:tcPr>
            <w:tcW w:w="2977" w:type="dxa"/>
          </w:tcPr>
          <w:p w:rsidR="0091295D" w:rsidRPr="0091295D" w:rsidRDefault="009A6DB5" w:rsidP="009A6DB5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(0.2)(0.5)(0.6</w:t>
            </w:r>
            <w:r>
              <w:rPr>
                <w:rFonts w:ascii="Times New Roman" w:hAnsi="Times New Roman" w:cs="Times New Roman"/>
                <w:szCs w:val="21"/>
              </w:rPr>
              <w:t>)(0.02)(0.08)</w:t>
            </w:r>
          </w:p>
        </w:tc>
      </w:tr>
      <w:tr w:rsidR="0091295D" w:rsidRPr="0091295D" w:rsidTr="009A6DB5">
        <w:tc>
          <w:tcPr>
            <w:tcW w:w="421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2976" w:type="dxa"/>
          </w:tcPr>
          <w:p w:rsidR="0091295D" w:rsidRPr="0091295D" w:rsidRDefault="009A6DB5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0.3)(0.2)(0.4)(0.16)(0.02)</w:t>
            </w:r>
          </w:p>
        </w:tc>
        <w:tc>
          <w:tcPr>
            <w:tcW w:w="2835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(0.3)</w:t>
            </w:r>
            <w:r w:rsidRPr="0091295D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 w:rsidRPr="0091295D">
              <w:rPr>
                <w:rFonts w:ascii="Times New Roman" w:hAnsi="Times New Roman" w:cs="Times New Roman"/>
                <w:szCs w:val="21"/>
              </w:rPr>
              <w:t>(1.0</w:t>
            </w:r>
            <w:r>
              <w:rPr>
                <w:rFonts w:ascii="Times New Roman" w:hAnsi="Times New Roman" w:cs="Times New Roman"/>
                <w:szCs w:val="21"/>
              </w:rPr>
              <w:t>)(0.16)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</w:p>
        </w:tc>
        <w:tc>
          <w:tcPr>
            <w:tcW w:w="2977" w:type="dxa"/>
          </w:tcPr>
          <w:p w:rsidR="0091295D" w:rsidRPr="0091295D" w:rsidRDefault="009A6DB5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0.3)(0.5)(0.8</w:t>
            </w:r>
            <w:r>
              <w:rPr>
                <w:rFonts w:ascii="Times New Roman" w:hAnsi="Times New Roman" w:cs="Times New Roman" w:hint="eastAsia"/>
                <w:szCs w:val="21"/>
              </w:rPr>
              <w:t>)(</w:t>
            </w:r>
            <w:r>
              <w:rPr>
                <w:rFonts w:ascii="Times New Roman" w:hAnsi="Times New Roman" w:cs="Times New Roman"/>
                <w:szCs w:val="21"/>
              </w:rPr>
              <w:t>0.16)(0.08)</w:t>
            </w:r>
          </w:p>
        </w:tc>
      </w:tr>
      <w:tr w:rsidR="0091295D" w:rsidRPr="0091295D" w:rsidTr="009A6DB5">
        <w:tc>
          <w:tcPr>
            <w:tcW w:w="421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 w:rsidRPr="0091295D"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2976" w:type="dxa"/>
          </w:tcPr>
          <w:p w:rsidR="0091295D" w:rsidRPr="0091295D" w:rsidRDefault="009A6DB5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0.5)(0.2)(0.6)(0.08)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0.02)</w:t>
            </w:r>
          </w:p>
        </w:tc>
        <w:tc>
          <w:tcPr>
            <w:tcW w:w="2835" w:type="dxa"/>
          </w:tcPr>
          <w:p w:rsidR="0091295D" w:rsidRPr="0091295D" w:rsidRDefault="009A6DB5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0.5)(0.3)(0.8)(0.08)(0.16)</w:t>
            </w:r>
          </w:p>
        </w:tc>
        <w:tc>
          <w:tcPr>
            <w:tcW w:w="2977" w:type="dxa"/>
          </w:tcPr>
          <w:p w:rsidR="0091295D" w:rsidRPr="0091295D" w:rsidRDefault="0091295D" w:rsidP="0091295D">
            <w:pPr>
              <w:ind w:right="96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(0.5)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(1.0)(0.08)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</w:p>
        </w:tc>
      </w:tr>
    </w:tbl>
    <w:p w:rsidR="009A6DB5" w:rsidRDefault="009A6DB5" w:rsidP="0091295D">
      <w:pPr>
        <w:ind w:right="960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 </w:t>
      </w:r>
      <w:r w:rsidRPr="009A6DB5">
        <w:rPr>
          <w:rFonts w:ascii="Times New Roman" w:hAnsi="Times New Roman" w:cs="Times New Roman"/>
          <w:sz w:val="28"/>
          <w:szCs w:val="28"/>
        </w:rPr>
        <w:t xml:space="preserve"> </w:t>
      </w:r>
      <w:r w:rsidRPr="009A6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σ</w:t>
      </w:r>
      <w:r w:rsidRPr="009A6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p</w:t>
      </w:r>
      <w:r w:rsidRPr="009A6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=[</w:t>
      </w:r>
      <w:r w:rsidRPr="009A6DB5">
        <w:rPr>
          <w:rFonts w:ascii="Times New Roman" w:hAnsi="Times New Roman" w:cs="Times New Roman"/>
          <w:sz w:val="28"/>
          <w:szCs w:val="28"/>
        </w:rPr>
        <w:t>(</w:t>
      </w:r>
      <w:r w:rsidRPr="009A6DB5">
        <w:rPr>
          <w:rFonts w:ascii="Times New Roman" w:hAnsi="Times New Roman" w:cs="Times New Roman" w:hint="eastAsia"/>
          <w:sz w:val="28"/>
          <w:szCs w:val="28"/>
        </w:rPr>
        <w:t>0.2</w:t>
      </w:r>
      <w:r w:rsidRPr="009A6DB5">
        <w:rPr>
          <w:rFonts w:ascii="Times New Roman" w:hAnsi="Times New Roman" w:cs="Times New Roman"/>
          <w:sz w:val="28"/>
          <w:szCs w:val="28"/>
        </w:rPr>
        <w:t>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(1.0)(0.02)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+</w:t>
      </w:r>
      <w:r w:rsidRPr="009A6DB5">
        <w:rPr>
          <w:rFonts w:ascii="Times New Roman" w:hAnsi="Times New Roman" w:cs="Times New Roman" w:hint="eastAsia"/>
          <w:sz w:val="28"/>
          <w:szCs w:val="28"/>
        </w:rPr>
        <w:t>0.3)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(1.0)(0.16)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+</w:t>
      </w:r>
      <w:r w:rsidRPr="009A6DB5">
        <w:rPr>
          <w:rFonts w:ascii="Times New Roman" w:hAnsi="Times New Roman" w:cs="Times New Roman" w:hint="eastAsia"/>
          <w:sz w:val="28"/>
          <w:szCs w:val="28"/>
        </w:rPr>
        <w:t>0.5)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(1.0)(0.08)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A6DB5">
        <w:rPr>
          <w:rFonts w:ascii="Times New Roman" w:hAnsi="Times New Roman" w:cs="Times New Roman"/>
          <w:sz w:val="28"/>
          <w:szCs w:val="28"/>
        </w:rPr>
        <w:t>+2</w:t>
      </w:r>
      <w:r w:rsidRPr="009A6DB5">
        <w:rPr>
          <w:rFonts w:ascii="Times New Roman" w:hAnsi="Times New Roman" w:cs="Times New Roman" w:hint="eastAsia"/>
          <w:sz w:val="28"/>
          <w:szCs w:val="28"/>
        </w:rPr>
        <w:t>(0.2)(0.3)(0.4)</w:t>
      </w:r>
      <w:r w:rsidRPr="009A6DB5">
        <w:rPr>
          <w:rFonts w:ascii="Times New Roman" w:hAnsi="Times New Roman" w:cs="Times New Roman"/>
          <w:sz w:val="28"/>
          <w:szCs w:val="28"/>
        </w:rPr>
        <w:t>(0.02)(0.16)</w:t>
      </w:r>
      <w:r w:rsidRPr="009A6DB5">
        <w:rPr>
          <w:rFonts w:ascii="Times New Roman" w:hAnsi="Times New Roman" w:cs="Times New Roman"/>
          <w:sz w:val="28"/>
          <w:szCs w:val="28"/>
        </w:rPr>
        <w:t>+2</w:t>
      </w:r>
      <w:r w:rsidRPr="009A6DB5">
        <w:rPr>
          <w:rFonts w:ascii="Times New Roman" w:hAnsi="Times New Roman" w:cs="Times New Roman" w:hint="eastAsia"/>
          <w:sz w:val="28"/>
          <w:szCs w:val="28"/>
        </w:rPr>
        <w:t>(</w:t>
      </w:r>
      <w:r w:rsidRPr="009A6DB5">
        <w:rPr>
          <w:rFonts w:ascii="Times New Roman" w:hAnsi="Times New Roman" w:cs="Times New Roman"/>
          <w:sz w:val="28"/>
          <w:szCs w:val="28"/>
        </w:rPr>
        <w:t>0.5)(0.2)(0.6)(0.08)</w:t>
      </w:r>
      <w:r w:rsidRPr="009A6DB5">
        <w:rPr>
          <w:rFonts w:ascii="Times New Roman" w:hAnsi="Times New Roman" w:cs="Times New Roman" w:hint="eastAsia"/>
          <w:sz w:val="28"/>
          <w:szCs w:val="28"/>
        </w:rPr>
        <w:t>(</w:t>
      </w:r>
      <w:r w:rsidRPr="009A6DB5">
        <w:rPr>
          <w:rFonts w:ascii="Times New Roman" w:hAnsi="Times New Roman" w:cs="Times New Roman"/>
          <w:sz w:val="28"/>
          <w:szCs w:val="28"/>
        </w:rPr>
        <w:t>0.02)</w:t>
      </w:r>
      <w:r w:rsidRPr="009A6DB5">
        <w:rPr>
          <w:rFonts w:ascii="Times New Roman" w:hAnsi="Times New Roman" w:cs="Times New Roman"/>
          <w:sz w:val="28"/>
          <w:szCs w:val="28"/>
        </w:rPr>
        <w:t>+2</w:t>
      </w:r>
      <w:r w:rsidRPr="009A6DB5">
        <w:rPr>
          <w:rFonts w:ascii="Times New Roman" w:hAnsi="Times New Roman" w:cs="Times New Roman" w:hint="eastAsia"/>
          <w:sz w:val="28"/>
          <w:szCs w:val="28"/>
        </w:rPr>
        <w:t>(</w:t>
      </w:r>
      <w:r w:rsidRPr="009A6DB5">
        <w:rPr>
          <w:rFonts w:ascii="Times New Roman" w:hAnsi="Times New Roman" w:cs="Times New Roman"/>
          <w:sz w:val="28"/>
          <w:szCs w:val="28"/>
        </w:rPr>
        <w:t>0.5)(0.3)(0.8)(0.08)(0.16)</w:t>
      </w:r>
      <w:r w:rsidRPr="009A6DB5">
        <w:rPr>
          <w:rFonts w:ascii="Times New Roman" w:hAnsi="Times New Roman" w:cs="Times New Roman"/>
          <w:sz w:val="28"/>
          <w:szCs w:val="28"/>
        </w:rPr>
        <w:t>]</w:t>
      </w:r>
      <w:r w:rsidRPr="009A6DB5">
        <w:rPr>
          <w:rFonts w:ascii="Times New Roman" w:hAnsi="Times New Roman" w:cs="Times New Roman"/>
          <w:sz w:val="28"/>
          <w:szCs w:val="28"/>
          <w:vertAlign w:val="superscript"/>
        </w:rPr>
        <w:t>0.5</w:t>
      </w:r>
    </w:p>
    <w:p w:rsidR="009A6DB5" w:rsidRPr="009A6DB5" w:rsidRDefault="009A6DB5" w:rsidP="0091295D">
      <w:pPr>
        <w:ind w:right="9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0.0073376]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sz w:val="28"/>
          <w:szCs w:val="28"/>
        </w:rPr>
        <w:t>=8.56%</w:t>
      </w:r>
    </w:p>
    <w:p w:rsidR="0091295D" w:rsidRDefault="0091295D" w:rsidP="0091295D">
      <w:pPr>
        <w:ind w:leftChars="200" w:left="420" w:right="960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12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152E"/>
    <w:multiLevelType w:val="hybridMultilevel"/>
    <w:tmpl w:val="1C10D270"/>
    <w:lvl w:ilvl="0" w:tplc="8F309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364274"/>
    <w:multiLevelType w:val="hybridMultilevel"/>
    <w:tmpl w:val="AD74E600"/>
    <w:lvl w:ilvl="0" w:tplc="305816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3"/>
    <w:rsid w:val="00087F62"/>
    <w:rsid w:val="00111F43"/>
    <w:rsid w:val="002A7A52"/>
    <w:rsid w:val="002B6997"/>
    <w:rsid w:val="002C09BD"/>
    <w:rsid w:val="002F4926"/>
    <w:rsid w:val="004F42AF"/>
    <w:rsid w:val="00563035"/>
    <w:rsid w:val="005E3741"/>
    <w:rsid w:val="008C2C10"/>
    <w:rsid w:val="0091295D"/>
    <w:rsid w:val="009A6DB5"/>
    <w:rsid w:val="00A53688"/>
    <w:rsid w:val="00B35A38"/>
    <w:rsid w:val="00D9489F"/>
    <w:rsid w:val="00DB55E9"/>
    <w:rsid w:val="00DE29BD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FE2BF-ECA0-4FA8-A897-02FB40F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5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Markese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'[Microsoft Word 中的图表]Sheet1'!$A$2:$A$25</c:f>
              <c:numCache>
                <c:formatCode>General</c:formatCode>
                <c:ptCount val="24"/>
                <c:pt idx="0">
                  <c:v>0.05</c:v>
                </c:pt>
                <c:pt idx="1">
                  <c:v>0.1</c:v>
                </c:pt>
                <c:pt idx="2">
                  <c:v>-0.06</c:v>
                </c:pt>
                <c:pt idx="3">
                  <c:v>-0.1</c:v>
                </c:pt>
                <c:pt idx="4">
                  <c:v>0.02</c:v>
                </c:pt>
                <c:pt idx="5">
                  <c:v>-0.03</c:v>
                </c:pt>
                <c:pt idx="6">
                  <c:v>7.0000000000000007E-2</c:v>
                </c:pt>
                <c:pt idx="7">
                  <c:v>-0.01</c:v>
                </c:pt>
                <c:pt idx="8">
                  <c:v>-0.08</c:v>
                </c:pt>
                <c:pt idx="9">
                  <c:v>0</c:v>
                </c:pt>
                <c:pt idx="10">
                  <c:v>0.13</c:v>
                </c:pt>
                <c:pt idx="11">
                  <c:v>0.04</c:v>
                </c:pt>
                <c:pt idx="12">
                  <c:v>-0.01</c:v>
                </c:pt>
                <c:pt idx="13">
                  <c:v>-0.09</c:v>
                </c:pt>
                <c:pt idx="14">
                  <c:v>-0.14000000000000001</c:v>
                </c:pt>
                <c:pt idx="15">
                  <c:v>-0.04</c:v>
                </c:pt>
                <c:pt idx="16">
                  <c:v>0.15</c:v>
                </c:pt>
                <c:pt idx="17">
                  <c:v>0.06</c:v>
                </c:pt>
                <c:pt idx="18">
                  <c:v>0.11</c:v>
                </c:pt>
                <c:pt idx="19">
                  <c:v>0.05</c:v>
                </c:pt>
                <c:pt idx="20">
                  <c:v>0.03</c:v>
                </c:pt>
                <c:pt idx="21">
                  <c:v>0.01</c:v>
                </c:pt>
                <c:pt idx="22">
                  <c:v>-0.03</c:v>
                </c:pt>
                <c:pt idx="23">
                  <c:v>0.04</c:v>
                </c:pt>
              </c:numCache>
            </c:numRef>
          </c:xVal>
          <c:yVal>
            <c:numRef>
              <c:f>'[Microsoft Word 中的图表]Sheet1'!$B$2:$B$25</c:f>
              <c:numCache>
                <c:formatCode>General</c:formatCode>
                <c:ptCount val="24"/>
                <c:pt idx="0">
                  <c:v>0.04</c:v>
                </c:pt>
                <c:pt idx="1">
                  <c:v>0.05</c:v>
                </c:pt>
                <c:pt idx="2">
                  <c:v>-0.04</c:v>
                </c:pt>
                <c:pt idx="3">
                  <c:v>-0.05</c:v>
                </c:pt>
                <c:pt idx="4">
                  <c:v>0.02</c:v>
                </c:pt>
                <c:pt idx="5">
                  <c:v>0</c:v>
                </c:pt>
                <c:pt idx="6">
                  <c:v>0.02</c:v>
                </c:pt>
                <c:pt idx="7">
                  <c:v>-0.01</c:v>
                </c:pt>
                <c:pt idx="8">
                  <c:v>-0.02</c:v>
                </c:pt>
                <c:pt idx="9">
                  <c:v>0.04</c:v>
                </c:pt>
                <c:pt idx="10">
                  <c:v>7.0000000000000007E-2</c:v>
                </c:pt>
                <c:pt idx="11">
                  <c:v>-0.01</c:v>
                </c:pt>
                <c:pt idx="12">
                  <c:v>0.01</c:v>
                </c:pt>
                <c:pt idx="13">
                  <c:v>-0.06</c:v>
                </c:pt>
                <c:pt idx="14">
                  <c:v>-0.06</c:v>
                </c:pt>
                <c:pt idx="15">
                  <c:v>-0.02</c:v>
                </c:pt>
                <c:pt idx="16">
                  <c:v>7.0000000000000007E-2</c:v>
                </c:pt>
                <c:pt idx="17">
                  <c:v>0.02</c:v>
                </c:pt>
                <c:pt idx="18">
                  <c:v>0.04</c:v>
                </c:pt>
                <c:pt idx="19">
                  <c:v>0.03</c:v>
                </c:pt>
                <c:pt idx="20">
                  <c:v>0.01</c:v>
                </c:pt>
                <c:pt idx="21">
                  <c:v>-0.01</c:v>
                </c:pt>
                <c:pt idx="22">
                  <c:v>-0.01</c:v>
                </c:pt>
                <c:pt idx="23">
                  <c:v>0.02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20792"/>
        <c:axId val="492321576"/>
      </c:scatterChart>
      <c:valAx>
        <c:axId val="492320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321576"/>
        <c:crosses val="autoZero"/>
        <c:crossBetween val="midCat"/>
      </c:valAx>
      <c:valAx>
        <c:axId val="492321576"/>
        <c:scaling>
          <c:orientation val="minMax"/>
          <c:max val="0.15000000000000002"/>
          <c:min val="-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320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'[Microsoft Word 中的图表]Sheet1'!$A$2:$A$6</c:f>
              <c:numCache>
                <c:formatCode>General</c:formatCode>
                <c:ptCount val="5"/>
                <c:pt idx="0">
                  <c:v>1.3</c:v>
                </c:pt>
                <c:pt idx="1">
                  <c:v>0.8</c:v>
                </c:pt>
                <c:pt idx="2">
                  <c:v>1.1000000000000001</c:v>
                </c:pt>
                <c:pt idx="3">
                  <c:v>1.7</c:v>
                </c:pt>
                <c:pt idx="4">
                  <c:v>1</c:v>
                </c:pt>
              </c:numCache>
            </c:numRef>
          </c:xVal>
          <c:yVal>
            <c:numRef>
              <c:f>'[Microsoft Word 中的图表]Sheet1'!$B$2:$B$6</c:f>
              <c:numCache>
                <c:formatCode>General</c:formatCode>
                <c:ptCount val="5"/>
                <c:pt idx="0">
                  <c:v>0.17</c:v>
                </c:pt>
                <c:pt idx="1">
                  <c:v>0.14499999999999999</c:v>
                </c:pt>
                <c:pt idx="2">
                  <c:v>0.155</c:v>
                </c:pt>
                <c:pt idx="3">
                  <c:v>0.18</c:v>
                </c:pt>
                <c:pt idx="4">
                  <c:v>0.15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19224"/>
        <c:axId val="492320400"/>
      </c:scatterChart>
      <c:valAx>
        <c:axId val="49231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320400"/>
        <c:crosses val="autoZero"/>
        <c:crossBetween val="midCat"/>
      </c:valAx>
      <c:valAx>
        <c:axId val="492320400"/>
        <c:scaling>
          <c:orientation val="minMax"/>
          <c:max val="0.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319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'[Microsoft Word 中的图表]Sheet1'!$A$2:$A$6</c:f>
              <c:numCache>
                <c:formatCode>General</c:formatCode>
                <c:ptCount val="5"/>
                <c:pt idx="0">
                  <c:v>1.3</c:v>
                </c:pt>
                <c:pt idx="1">
                  <c:v>0.8</c:v>
                </c:pt>
                <c:pt idx="2">
                  <c:v>1.1000000000000001</c:v>
                </c:pt>
                <c:pt idx="3">
                  <c:v>1.7</c:v>
                </c:pt>
                <c:pt idx="4">
                  <c:v>1</c:v>
                </c:pt>
              </c:numCache>
            </c:numRef>
          </c:xVal>
          <c:yVal>
            <c:numRef>
              <c:f>'[Microsoft Word 中的图表]Sheet1'!$B$2:$B$6</c:f>
              <c:numCache>
                <c:formatCode>General</c:formatCode>
                <c:ptCount val="5"/>
                <c:pt idx="0">
                  <c:v>0.17</c:v>
                </c:pt>
                <c:pt idx="1">
                  <c:v>0.14499999999999999</c:v>
                </c:pt>
                <c:pt idx="2">
                  <c:v>0.155</c:v>
                </c:pt>
                <c:pt idx="3">
                  <c:v>0.18</c:v>
                </c:pt>
                <c:pt idx="4">
                  <c:v>0.16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600488"/>
        <c:axId val="746603232"/>
      </c:scatterChart>
      <c:valAx>
        <c:axId val="746600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603232"/>
        <c:crosses val="autoZero"/>
        <c:crossBetween val="midCat"/>
      </c:valAx>
      <c:valAx>
        <c:axId val="746603232"/>
        <c:scaling>
          <c:orientation val="minMax"/>
          <c:max val="0.2"/>
          <c:min val="0.12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600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4</cp:revision>
  <dcterms:created xsi:type="dcterms:W3CDTF">2017-02-18T18:08:00Z</dcterms:created>
  <dcterms:modified xsi:type="dcterms:W3CDTF">2017-02-19T22:53:00Z</dcterms:modified>
</cp:coreProperties>
</file>