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type="page"/>
      </w:r>
    </w:p>
    <w:p>
      <w:pPr>
        <w:spacing w:after="200"/>
      </w:pPr>
      <w:r>
        <w:rPr>
          <w:b/>
          <w:color w:val="1A3D6D"/>
          <w:sz w:val="28"/>
        </w:rPr>
        <w:t>Índice</w:t>
      </w:r>
    </w:p>
    <w:p>
      <w:r>
        <w:fldChar w:fldCharType="begin"/>
        <w:instrText xml:space="preserve">TOC \o "1-3" \h \z \u</w:instrText>
        <w:fldChar w:fldCharType="separate"/>
        <w:t>Clic derecho aquí → «Actualizar campos» (o F9) para generar el índice.</w:t>
        <w:fldChar w:fldCharType="end"/>
      </w:r>
    </w:p>
    <w:p>
      <w:r>
        <w:br w:type="page"/>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Decisión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5.4 Validación adicional: variables enriquecidas y walk-forward</w:t>
      </w:r>
    </w:p>
    <w:p>
      <w:pPr>
        <w:spacing w:after="160" w:line="276" w:lineRule="auto"/>
        <w:jc w:val="both"/>
      </w:pPr>
      <w:r>
        <w:t>Como contraste de solidez de los resultados anteriores, se desarrollaron las principales líneas de mejora propuestas (Sección 8) bajo un protocolo de evaluación más estricto.</w:t>
      </w:r>
    </w:p>
    <w:p>
      <w:pPr>
        <w:spacing w:after="160" w:line="276" w:lineRule="auto"/>
        <w:jc w:val="both"/>
      </w:pPr>
      <w:r>
        <w:t xml:space="preserve">Los cambios aplicados fueron: (i) </w:t>
      </w:r>
      <w:r>
        <w:rPr>
          <w:b/>
        </w:rPr>
        <w:t>ingeniería de variables enriquecida</w:t>
      </w:r>
      <w:r>
        <w:t xml:space="preserve">, añadiendo retardos y medias móviles adicionales (retardo de dos jornadas, media móvil de cinco, delta respecto a la media reciente) y el historial de incentive y over_time, pasando de 33 a 40 variables; (ii) </w:t>
      </w:r>
      <w:r>
        <w:rPr>
          <w:b/>
        </w:rPr>
        <w:t>validación walk-forward</w:t>
      </w:r>
      <w:r>
        <w:t xml:space="preserve"> (TimeSeriesSplit de cinco particiones), que entrena y evalúa avanzando en el tiempo en lugar de un único corte; (iii) </w:t>
      </w:r>
      <w:r>
        <w:rPr>
          <w:b/>
        </w:rPr>
        <w:t>métricas robustas</w:t>
      </w:r>
      <w:r>
        <w:t xml:space="preserve">, reportando —además del accuracy— el F1 y el PR-AUC de la clase «no cumple» (la minoritaria y de mayor interés operativo); y (iv) </w:t>
      </w:r>
      <w:r>
        <w:rPr>
          <w:b/>
        </w:rPr>
        <w:t>modelos adicionales</w:t>
      </w:r>
      <w:r>
        <w:t>: gradient boosting (HistGradientBoosting, XGBoost, LightGBM) y manejo del desbalance (ponderación de clases y sobremuestreo SMOTE). La Tabla 4 y la Figura 9 resumen los resultados.</w:t>
      </w:r>
    </w:p>
    <w:p>
      <w:pPr>
        <w:spacing w:after="20"/>
      </w:pPr>
      <w:r>
        <w:rPr>
          <w:b/>
          <w:sz w:val="19"/>
        </w:rPr>
        <w:t>Tabla 4</w:t>
      </w:r>
    </w:p>
    <w:p>
      <w:pPr>
        <w:spacing w:after="60"/>
      </w:pPr>
      <w:r>
        <w:rPr>
          <w:i/>
          <w:sz w:val="19"/>
        </w:rPr>
        <w:t>Comparación de modelos bajo validación walk-forward y métricas robustas.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685"/>
            <w:shd w:val="clear" w:color="auto" w:fill="1A3D6D"/>
          </w:tcPr>
          <w:p>
            <w:r/>
            <w:r>
              <w:rPr>
                <w:b/>
                <w:color w:val="FFFFFF"/>
                <w:sz w:val="18"/>
              </w:rPr>
              <w:t>Modelo</w:t>
            </w:r>
          </w:p>
        </w:tc>
        <w:tc>
          <w:tcPr>
            <w:tcW w:type="dxa" w:w="1701"/>
            <w:shd w:val="clear" w:color="auto" w:fill="1A3D6D"/>
          </w:tcPr>
          <w:p>
            <w:r/>
            <w:r>
              <w:rPr>
                <w:b/>
                <w:color w:val="FFFFFF"/>
                <w:sz w:val="18"/>
              </w:rPr>
              <w:t>Accuracy</w:t>
            </w:r>
          </w:p>
        </w:tc>
        <w:tc>
          <w:tcPr>
            <w:tcW w:type="dxa" w:w="1701"/>
            <w:shd w:val="clear" w:color="auto" w:fill="1A3D6D"/>
          </w:tcPr>
          <w:p>
            <w:r/>
            <w:r>
              <w:rPr>
                <w:b/>
                <w:color w:val="FFFFFF"/>
                <w:sz w:val="18"/>
              </w:rPr>
              <w:t>F1 «no cumple»</w:t>
            </w:r>
          </w:p>
        </w:tc>
        <w:tc>
          <w:tcPr>
            <w:tcW w:type="dxa" w:w="1984"/>
            <w:shd w:val="clear" w:color="auto" w:fill="1A3D6D"/>
          </w:tcPr>
          <w:p>
            <w:r/>
            <w:r>
              <w:rPr>
                <w:b/>
                <w:color w:val="FFFFFF"/>
                <w:sz w:val="18"/>
              </w:rPr>
              <w:t>PR-AUC «no cumple»</w:t>
            </w:r>
          </w:p>
        </w:tc>
      </w:tr>
      <w:tr>
        <w:tc>
          <w:tcPr>
            <w:tcW w:type="dxa" w:w="3685"/>
          </w:tcPr>
          <w:p>
            <w:r/>
            <w:r>
              <w:rPr>
                <w:sz w:val="18"/>
              </w:rPr>
              <w:t>RF (base, proyecto actual)</w:t>
            </w:r>
          </w:p>
        </w:tc>
        <w:tc>
          <w:tcPr>
            <w:tcW w:type="dxa" w:w="1701"/>
          </w:tcPr>
          <w:p>
            <w:r/>
            <w:r>
              <w:rPr>
                <w:sz w:val="18"/>
              </w:rPr>
              <w:t>0.794</w:t>
            </w:r>
          </w:p>
        </w:tc>
        <w:tc>
          <w:tcPr>
            <w:tcW w:type="dxa" w:w="1701"/>
          </w:tcPr>
          <w:p>
            <w:r/>
            <w:r>
              <w:rPr>
                <w:sz w:val="18"/>
              </w:rPr>
              <w:t>0.599</w:t>
            </w:r>
          </w:p>
        </w:tc>
        <w:tc>
          <w:tcPr>
            <w:tcW w:type="dxa" w:w="1984"/>
          </w:tcPr>
          <w:p>
            <w:r/>
            <w:r>
              <w:rPr>
                <w:sz w:val="18"/>
              </w:rPr>
              <w:t>0.669</w:t>
            </w:r>
          </w:p>
        </w:tc>
      </w:tr>
      <w:tr>
        <w:tc>
          <w:tcPr>
            <w:tcW w:type="dxa" w:w="3685"/>
          </w:tcPr>
          <w:p>
            <w:r/>
            <w:r>
              <w:rPr>
                <w:sz w:val="18"/>
              </w:rPr>
              <w:t>RF (features enriquecidas)</w:t>
            </w:r>
          </w:p>
        </w:tc>
        <w:tc>
          <w:tcPr>
            <w:tcW w:type="dxa" w:w="1701"/>
          </w:tcPr>
          <w:p>
            <w:r/>
            <w:r>
              <w:rPr>
                <w:sz w:val="18"/>
              </w:rPr>
              <w:t>0.808</w:t>
            </w:r>
          </w:p>
        </w:tc>
        <w:tc>
          <w:tcPr>
            <w:tcW w:type="dxa" w:w="1701"/>
          </w:tcPr>
          <w:p>
            <w:r/>
            <w:r>
              <w:rPr>
                <w:sz w:val="18"/>
              </w:rPr>
              <w:t>0.599</w:t>
            </w:r>
          </w:p>
        </w:tc>
        <w:tc>
          <w:tcPr>
            <w:tcW w:type="dxa" w:w="1984"/>
          </w:tcPr>
          <w:p>
            <w:r/>
            <w:r>
              <w:rPr>
                <w:sz w:val="18"/>
              </w:rPr>
              <w:t>0.670</w:t>
            </w:r>
          </w:p>
        </w:tc>
      </w:tr>
      <w:tr>
        <w:tc>
          <w:tcPr>
            <w:tcW w:type="dxa" w:w="3685"/>
          </w:tcPr>
          <w:p>
            <w:r/>
            <w:r>
              <w:rPr>
                <w:sz w:val="18"/>
              </w:rPr>
              <w:t>RF + balance de clases</w:t>
            </w:r>
          </w:p>
        </w:tc>
        <w:tc>
          <w:tcPr>
            <w:tcW w:type="dxa" w:w="1701"/>
          </w:tcPr>
          <w:p>
            <w:r/>
            <w:r>
              <w:rPr>
                <w:sz w:val="18"/>
              </w:rPr>
              <w:t>0.796</w:t>
            </w:r>
          </w:p>
        </w:tc>
        <w:tc>
          <w:tcPr>
            <w:tcW w:type="dxa" w:w="1701"/>
          </w:tcPr>
          <w:p>
            <w:r/>
            <w:r>
              <w:rPr>
                <w:sz w:val="18"/>
              </w:rPr>
              <w:t>0.521</w:t>
            </w:r>
          </w:p>
        </w:tc>
        <w:tc>
          <w:tcPr>
            <w:tcW w:type="dxa" w:w="1984"/>
          </w:tcPr>
          <w:p>
            <w:r/>
            <w:r>
              <w:rPr>
                <w:sz w:val="18"/>
              </w:rPr>
              <w:t>0.676</w:t>
            </w:r>
          </w:p>
        </w:tc>
      </w:tr>
      <w:tr>
        <w:tc>
          <w:tcPr>
            <w:tcW w:type="dxa" w:w="3685"/>
          </w:tcPr>
          <w:p>
            <w:r/>
            <w:r>
              <w:rPr>
                <w:sz w:val="18"/>
              </w:rPr>
              <w:t>HistGradientBoosting</w:t>
            </w:r>
          </w:p>
        </w:tc>
        <w:tc>
          <w:tcPr>
            <w:tcW w:type="dxa" w:w="1701"/>
          </w:tcPr>
          <w:p>
            <w:r/>
            <w:r>
              <w:rPr>
                <w:sz w:val="18"/>
              </w:rPr>
              <w:t>0.780</w:t>
            </w:r>
          </w:p>
        </w:tc>
        <w:tc>
          <w:tcPr>
            <w:tcW w:type="dxa" w:w="1701"/>
          </w:tcPr>
          <w:p>
            <w:r/>
            <w:r>
              <w:rPr>
                <w:sz w:val="18"/>
              </w:rPr>
              <w:t>0.583</w:t>
            </w:r>
          </w:p>
        </w:tc>
        <w:tc>
          <w:tcPr>
            <w:tcW w:type="dxa" w:w="1984"/>
          </w:tcPr>
          <w:p>
            <w:r/>
            <w:r>
              <w:rPr>
                <w:sz w:val="18"/>
              </w:rPr>
              <w:t>0.625</w:t>
            </w:r>
          </w:p>
        </w:tc>
      </w:tr>
      <w:tr>
        <w:tc>
          <w:tcPr>
            <w:tcW w:type="dxa" w:w="3685"/>
          </w:tcPr>
          <w:p>
            <w:r/>
            <w:r>
              <w:rPr>
                <w:sz w:val="18"/>
              </w:rPr>
              <w:t>XGBoost</w:t>
            </w:r>
          </w:p>
        </w:tc>
        <w:tc>
          <w:tcPr>
            <w:tcW w:type="dxa" w:w="1701"/>
          </w:tcPr>
          <w:p>
            <w:r/>
            <w:r>
              <w:rPr>
                <w:sz w:val="18"/>
              </w:rPr>
              <w:t>0.782</w:t>
            </w:r>
          </w:p>
        </w:tc>
        <w:tc>
          <w:tcPr>
            <w:tcW w:type="dxa" w:w="1701"/>
          </w:tcPr>
          <w:p>
            <w:r/>
            <w:r>
              <w:rPr>
                <w:sz w:val="18"/>
              </w:rPr>
              <w:t>0.586</w:t>
            </w:r>
          </w:p>
        </w:tc>
        <w:tc>
          <w:tcPr>
            <w:tcW w:type="dxa" w:w="1984"/>
          </w:tcPr>
          <w:p>
            <w:r/>
            <w:r>
              <w:rPr>
                <w:sz w:val="18"/>
              </w:rPr>
              <w:t>0.612</w:t>
            </w:r>
          </w:p>
        </w:tc>
      </w:tr>
      <w:tr>
        <w:tc>
          <w:tcPr>
            <w:tcW w:type="dxa" w:w="3685"/>
          </w:tcPr>
          <w:p>
            <w:r/>
            <w:r>
              <w:rPr>
                <w:sz w:val="18"/>
              </w:rPr>
              <w:t>LightGBM + balance</w:t>
            </w:r>
          </w:p>
        </w:tc>
        <w:tc>
          <w:tcPr>
            <w:tcW w:type="dxa" w:w="1701"/>
          </w:tcPr>
          <w:p>
            <w:r/>
            <w:r>
              <w:rPr>
                <w:sz w:val="18"/>
              </w:rPr>
              <w:t>0.772</w:t>
            </w:r>
          </w:p>
        </w:tc>
        <w:tc>
          <w:tcPr>
            <w:tcW w:type="dxa" w:w="1701"/>
          </w:tcPr>
          <w:p>
            <w:r/>
            <w:r>
              <w:rPr>
                <w:sz w:val="18"/>
              </w:rPr>
              <w:t>0.616</w:t>
            </w:r>
          </w:p>
        </w:tc>
        <w:tc>
          <w:tcPr>
            <w:tcW w:type="dxa" w:w="1984"/>
          </w:tcPr>
          <w:p>
            <w:r/>
            <w:r>
              <w:rPr>
                <w:sz w:val="18"/>
              </w:rPr>
              <w:t>0.576</w:t>
            </w:r>
          </w:p>
        </w:tc>
      </w:tr>
      <w:tr>
        <w:tc>
          <w:tcPr>
            <w:tcW w:type="dxa" w:w="3685"/>
          </w:tcPr>
          <w:p>
            <w:r/>
            <w:r>
              <w:rPr>
                <w:sz w:val="18"/>
              </w:rPr>
              <w:t>XGBoost + SMOTE</w:t>
            </w:r>
          </w:p>
        </w:tc>
        <w:tc>
          <w:tcPr>
            <w:tcW w:type="dxa" w:w="1701"/>
          </w:tcPr>
          <w:p>
            <w:r/>
            <w:r>
              <w:rPr>
                <w:sz w:val="18"/>
              </w:rPr>
              <w:t>0.785</w:t>
            </w:r>
          </w:p>
        </w:tc>
        <w:tc>
          <w:tcPr>
            <w:tcW w:type="dxa" w:w="1701"/>
          </w:tcPr>
          <w:p>
            <w:r/>
            <w:r>
              <w:rPr>
                <w:sz w:val="18"/>
              </w:rPr>
              <w:t>0.619</w:t>
            </w:r>
          </w:p>
        </w:tc>
        <w:tc>
          <w:tcPr>
            <w:tcW w:type="dxa" w:w="1984"/>
          </w:tcPr>
          <w:p>
            <w:r/>
            <w:r>
              <w:rPr>
                <w:sz w:val="18"/>
              </w:rPr>
              <w:t>0.643</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9</w:t>
      </w:r>
    </w:p>
    <w:p>
      <w:pPr>
        <w:spacing w:after="40"/>
      </w:pPr>
      <w:r>
        <w:rPr>
          <w:i/>
          <w:sz w:val="19"/>
        </w:rPr>
        <w:t>Comparación de modelos en las tres métricas bajo validación walk-forward; la línea roja marca la base trivial.</w:t>
      </w:r>
    </w:p>
    <w:p>
      <w:pPr>
        <w:jc w:val="center"/>
      </w:pPr>
      <w:r>
        <w:drawing>
          <wp:inline xmlns:a="http://schemas.openxmlformats.org/drawingml/2006/main" xmlns:pic="http://schemas.openxmlformats.org/drawingml/2006/picture">
            <wp:extent cx="6120000" cy="1976590"/>
            <wp:docPr id="9" name="Picture 9"/>
            <wp:cNvGraphicFramePr>
              <a:graphicFrameLocks noChangeAspect="1"/>
            </wp:cNvGraphicFramePr>
            <a:graphic>
              <a:graphicData uri="http://schemas.openxmlformats.org/drawingml/2006/picture">
                <pic:pic>
                  <pic:nvPicPr>
                    <pic:cNvPr id="0" name="fig_reco.png"/>
                    <pic:cNvPicPr/>
                  </pic:nvPicPr>
                  <pic:blipFill>
                    <a:blip r:embed="rId17"/>
                    <a:stretch>
                      <a:fillRect/>
                    </a:stretch>
                  </pic:blipFill>
                  <pic:spPr>
                    <a:xfrm>
                      <a:off x="0" y="0"/>
                      <a:ext cx="6120000" cy="1976590"/>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Se observan cuatro hallazgos. Primero, la </w:t>
      </w:r>
      <w:r>
        <w:rPr>
          <w:b/>
        </w:rPr>
        <w:t>validación walk-forward</w:t>
      </w:r>
      <w:r>
        <w:t xml:space="preserve"> —más exigente que el corte único usado en la evaluación principal— sitúa al Random Forest en torno a 0.808 de accuracy, por debajo del 87% obtenido con una sola partición; esta cifra es más realista y </w:t>
      </w:r>
      <w:r>
        <w:rPr>
          <w:b/>
        </w:rPr>
        <w:t>confirma el riesgo de sobreajuste</w:t>
      </w:r>
      <w:r>
        <w:t xml:space="preserve"> de una validación menos estricta.</w:t>
      </w:r>
    </w:p>
    <w:p>
      <w:pPr>
        <w:spacing w:after="160" w:line="276" w:lineRule="auto"/>
        <w:jc w:val="both"/>
      </w:pPr>
      <w:r>
        <w:t xml:space="preserve">Segundo, la </w:t>
      </w:r>
      <w:r>
        <w:rPr>
          <w:b/>
        </w:rPr>
        <w:t>ingeniería de variables enriquecida</w:t>
      </w:r>
      <w:r>
        <w:t xml:space="preserve"> fue la palanca más efectiva: el accuracy del Random Forest subió de 0.794 a 0.808 y, sobre todo, el modelo se volvió más estable entre particiones.</w:t>
      </w:r>
    </w:p>
    <w:p>
      <w:pPr>
        <w:spacing w:after="160" w:line="276" w:lineRule="auto"/>
        <w:jc w:val="both"/>
      </w:pPr>
      <w:r>
        <w:t xml:space="preserve">Tercero, los modelos de </w:t>
      </w:r>
      <w:r>
        <w:rPr>
          <w:b/>
        </w:rPr>
        <w:t>gradient boosting no superaron al Random Forest</w:t>
      </w:r>
      <w:r>
        <w:t xml:space="preserve"> con este tamaño de datos (~1185 registros): XGBoost, LightGBM e HistGradientBoosting quedaron por debajo en accuracy y PR-AUC, mostrando que un método más complejo no garantiza mejores resultados.</w:t>
      </w:r>
    </w:p>
    <w:p>
      <w:pPr>
        <w:spacing w:after="160" w:line="276" w:lineRule="auto"/>
        <w:jc w:val="both"/>
      </w:pPr>
      <w:r>
        <w:t xml:space="preserve">Cuarto, el </w:t>
      </w:r>
      <w:r>
        <w:rPr>
          <w:b/>
        </w:rPr>
        <w:t>manejo del desbalance mejora la detección de los equipos en riesgo a costa del accuracy</w:t>
      </w:r>
      <w:r>
        <w:t xml:space="preserve">: XGBoost con SMOTE eleva el F1 de «no cumple» a 0.619 (frente a 0.599 del Random Forest), pero con menor accuracy. Esto </w:t>
      </w:r>
      <w:r>
        <w:rPr>
          <w:b/>
        </w:rPr>
        <w:t>confirma que medir solo con accuracy puede ocultar mejoras valiosas</w:t>
      </w:r>
      <w:r>
        <w:t>: si el objetivo es detectar a los equipos que no cumplirán, la métrica adecuada es el F1 o el PR-AUC, no el accuracy.</w:t>
      </w:r>
    </w:p>
    <w:p>
      <w:pPr>
        <w:spacing w:after="160" w:line="276" w:lineRule="auto"/>
        <w:jc w:val="both"/>
      </w:pPr>
      <w:r>
        <w:t xml:space="preserve">En síntesis, la mejor configuración </w:t>
      </w:r>
      <w:r>
        <w:rPr>
          <w:b/>
        </w:rPr>
        <w:t>depende del objetivo</w:t>
      </w:r>
      <w:r>
        <w:t>: para calidad predictiva global y estable, el Random Forest con variables enriquecidas (0.808 de accuracy); para maximizar la detección de equipos en riesgo, XGBoost con SMOTE (F1 de 0.619) o LightGBM con balance (F1 de 0.616). Todos los modelos superan ampliamente la base trivial (PR-AUC de 0.269).</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pStyle w:val="Heading1"/>
      </w:pPr>
      <w:r>
        <w:rPr>
          <w:color w:val="1A3D6D"/>
        </w:rPr>
        <w:t>8. Trabajo futuro</w:t>
      </w:r>
    </w:p>
    <w:p>
      <w:pPr>
        <w:spacing w:after="160" w:line="276" w:lineRule="auto"/>
        <w:jc w:val="both"/>
      </w:pPr>
      <w:r>
        <w:t xml:space="preserve">Con miras a </w:t>
      </w:r>
      <w:r>
        <w:rPr>
          <w:b/>
        </w:rPr>
        <w:t>maximizar el desempeño predictivo</w:t>
      </w:r>
      <w:r>
        <w:t xml:space="preserve"> del modelo, se proponen las siguientes líneas de trabajo, ordenadas por prioridad:</w:t>
      </w:r>
    </w:p>
    <w:p>
      <w:pPr>
        <w:spacing w:after="160" w:line="276" w:lineRule="auto"/>
        <w:jc w:val="both"/>
      </w:pPr>
      <w:r>
        <w:t xml:space="preserve">1. </w:t>
      </w:r>
      <w:r>
        <w:rPr>
          <w:b/>
        </w:rPr>
        <w:t>Redefinir la métrica de éxito.</w:t>
      </w:r>
      <w:r>
        <w:t xml:space="preserve"> Dado el desbalance de clases, evaluar con </w:t>
      </w:r>
      <w:r>
        <w:rPr>
          <w:b/>
        </w:rPr>
        <w:t>F1 o AUC-PR</w:t>
      </w:r>
      <w:r>
        <w:t xml:space="preserve"> en lugar del accuracy, para no penalizar las mejoras en la detección de los equipos en riesgo —que son la clase minoritaria y la de mayor interés operativo.</w:t>
      </w:r>
    </w:p>
    <w:p>
      <w:pPr>
        <w:spacing w:after="160" w:line="276" w:lineRule="auto"/>
        <w:jc w:val="both"/>
      </w:pPr>
      <w:r>
        <w:t xml:space="preserve">2. </w:t>
      </w:r>
      <w:r>
        <w:rPr>
          <w:b/>
        </w:rPr>
        <w:t>Adoptar una validación walk-forward</w:t>
      </w:r>
      <w:r>
        <w:t xml:space="preserve"> (TimeSeriesSplit), entrenando y evaluando avanzando en el tiempo, de modo que las mejoras observadas sean reales y no producto del sobreajuste.</w:t>
      </w:r>
    </w:p>
    <w:p>
      <w:pPr>
        <w:spacing w:after="160" w:line="276" w:lineRule="auto"/>
        <w:jc w:val="both"/>
      </w:pPr>
      <w:r>
        <w:t xml:space="preserve">3. </w:t>
      </w:r>
      <w:r>
        <w:rPr>
          <w:b/>
        </w:rPr>
        <w:t>Enriquecer la ingeniería de variables temporales</w:t>
      </w:r>
      <w:r>
        <w:t xml:space="preserve"> con más retardos y ventanas, medias móviles de longitud variable y retardos de incentive y over_time, no solo de la productividad.</w:t>
      </w:r>
    </w:p>
    <w:p>
      <w:pPr>
        <w:spacing w:after="160" w:line="276" w:lineRule="auto"/>
        <w:jc w:val="both"/>
      </w:pPr>
      <w:r>
        <w:t xml:space="preserve">4. </w:t>
      </w:r>
      <w:r>
        <w:rPr>
          <w:b/>
        </w:rPr>
        <w:t>Evaluar modelos más potentes</w:t>
      </w:r>
      <w:r>
        <w:t>: algoritmos de gradient boosting (XGBoost, LightGBM) y esquemas de stacking, junto con una búsqueda sistemática de hiperparámetros bajo la validación anterior.</w:t>
      </w:r>
    </w:p>
    <w:p>
      <w:pPr>
        <w:spacing w:after="160" w:line="276" w:lineRule="auto"/>
        <w:jc w:val="both"/>
      </w:pPr>
      <w:r>
        <w:t xml:space="preserve">5. </w:t>
      </w:r>
      <w:r>
        <w:rPr>
          <w:b/>
        </w:rPr>
        <w:t>Tratar el desbalance de clases</w:t>
      </w:r>
      <w:r>
        <w:t xml:space="preserve"> (sobremuestreo o ponderación) optimizando la métrica robusta seleccionada.</w:t>
      </w:r>
    </w:p>
    <w:p>
      <w:pPr>
        <w:spacing w:after="160" w:line="276" w:lineRule="auto"/>
        <w:jc w:val="both"/>
      </w:pPr>
      <w:r>
        <w:t xml:space="preserve">En todos los casos, estas mejoras deben perseguirse controlando el </w:t>
      </w:r>
      <w:r>
        <w:rPr>
          <w:b/>
        </w:rPr>
        <w:t>riesgo de sobreajuste</w:t>
      </w:r>
      <w:r>
        <w:t>, especialmente por el tamaño moderado del conjunto (~1.185 registros): conviene establecer primero una medición y una validación correctas y solo después optimizar los modelos, evitando así mejoras que resulten ilusorias sobre datos nuevos.</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