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120"/>
        <w:jc w:val="center"/>
      </w:pPr>
      <w:r>
        <w:rPr>
          <w:b w:val="0"/>
          <w:i w:val="0"/>
          <w:color w:val="555555"/>
          <w:sz w:val="26"/>
        </w:rPr>
        <w:t>UNIVERSIDAD TECNOLÓGICA METROPOLITANA</w:t>
      </w:r>
    </w:p>
    <w:p>
      <w:pPr>
        <w:spacing w:after="600"/>
        <w:jc w:val="center"/>
      </w:pPr>
      <w:r>
        <w:rPr>
          <w:b w:val="0"/>
          <w:i w:val="0"/>
          <w:color w:val="555555"/>
          <w:sz w:val="26"/>
        </w:rPr>
        <w:t>Facultad de Ingeniería — Minería de Datos (INFB8104)</w:t>
      </w:r>
    </w:p>
    <w:p>
      <w:pPr>
        <w:spacing w:after="160"/>
        <w:jc w:val="center"/>
      </w:pPr>
      <w:r>
        <w:rPr>
          <w:b/>
          <w:i w:val="0"/>
          <w:color w:val="1A3D6D"/>
          <w:sz w:val="40"/>
        </w:rPr>
        <w:t>Predicción del cumplimiento de la productividad objetivo en equipos de una fábrica textil</w:t>
      </w:r>
    </w:p>
    <w:p>
      <w:pPr>
        <w:spacing w:after="800"/>
        <w:jc w:val="center"/>
      </w:pPr>
      <w:r>
        <w:rPr>
          <w:b w:val="0"/>
          <w:i w:val="0"/>
          <w:color w:val="555555"/>
          <w:sz w:val="24"/>
        </w:rPr>
        <w:t>Un enfoque de clasificación supervisada basado en variables operativas y en el comportamiento temporal reciente de cada equipo</w:t>
      </w:r>
    </w:p>
    <w:p>
      <w:pPr>
        <w:spacing w:after="120"/>
        <w:jc w:val="center"/>
      </w:pPr>
      <w:r>
        <w:rPr>
          <w:b w:val="0"/>
          <w:i w:val="0"/>
          <w:sz w:val="24"/>
        </w:rPr>
        <w:t>Informe final</w:t>
      </w:r>
    </w:p>
    <w:p>
      <w:pPr>
        <w:spacing w:after="600"/>
        <w:jc w:val="center"/>
      </w:pPr>
      <w:r>
        <w:rPr>
          <w:b w:val="0"/>
          <w:i w:val="0"/>
          <w:sz w:val="24"/>
        </w:rPr>
        <w:t>Luna León · Matías Machuca</w:t>
      </w:r>
    </w:p>
    <w:p>
      <w:pPr>
        <w:spacing w:after="120"/>
        <w:jc w:val="center"/>
      </w:pPr>
      <w:r>
        <w:rPr>
          <w:b w:val="0"/>
          <w:i w:val="0"/>
          <w:sz w:val="24"/>
        </w:rPr>
        <w:t>Junio de 2026</w:t>
      </w:r>
    </w:p>
    <w:p>
      <w:r>
        <w:br w:type="page"/>
      </w:r>
    </w:p>
    <w:p>
      <w:pPr>
        <w:spacing w:after="200"/>
      </w:pPr>
      <w:r>
        <w:rPr>
          <w:b/>
          <w:color w:val="1A3D6D"/>
          <w:sz w:val="28"/>
        </w:rPr>
        <w:t>Índice</w:t>
      </w:r>
    </w:p>
    <w:p>
      <w:r>
        <w:fldChar w:fldCharType="begin"/>
        <w:instrText xml:space="preserve">TOC \o "1-3" \h \z \u</w:instrText>
        <w:fldChar w:fldCharType="separate"/>
        <w:t>Clic derecho aquí → «Actualizar campos» (o F9) para generar el índice.</w:t>
        <w:fldChar w:fldCharType="end"/>
      </w:r>
    </w:p>
    <w:p>
      <w:r>
        <w:br w:type="page"/>
      </w:r>
    </w:p>
    <w:p>
      <w:pPr>
        <w:pStyle w:val="Heading1"/>
      </w:pPr>
      <w:r>
        <w:rPr>
          <w:color w:val="1A3D6D"/>
        </w:rPr>
        <w:t>Resumen</w:t>
      </w:r>
    </w:p>
    <w:p>
      <w:pPr>
        <w:spacing w:after="160" w:line="276" w:lineRule="auto"/>
        <w:jc w:val="both"/>
      </w:pPr>
      <w:r>
        <w:t xml:space="preserve">Este trabajo aborda, mediante técnicas de minería de datos, la predicción de si un equipo de una fábrica textil </w:t>
      </w:r>
      <w:r>
        <w:rPr>
          <w:b/>
        </w:rPr>
        <w:t>alcanzará o no su productividad objetivo</w:t>
      </w:r>
      <w:r>
        <w:t xml:space="preserve"> en una jornada determinada, formulada como una </w:t>
      </w:r>
      <w:r>
        <w:rPr>
          <w:b/>
        </w:rPr>
        <w:t>clasificación binaria supervisada</w:t>
      </w:r>
      <w:r>
        <w:t xml:space="preserve"> (cumple / no cumple). El aporte central es el uso del </w:t>
      </w:r>
      <w:r>
        <w:rPr>
          <w:b/>
        </w:rPr>
        <w:t>comportamiento temporal reciente de cada equipo</w:t>
      </w:r>
      <w:r>
        <w:t xml:space="preserve"> (retardos, medias móviles, tendencia y antigüedad desde el último cambio de estilo). Siguiendo el proceso CRISP-DM (Wirth &amp;amp; Hipp, 2000), se depuró el conjunto de datos de Imran (2020) (1197 registros, 15 variables), se prepararon los datos, se compararon cinco familias de modelos y se validó con una partición temporal. El mejor modelo, un </w:t>
      </w:r>
      <w:r>
        <w:rPr>
          <w:b/>
        </w:rPr>
        <w:t>Random Forest, obtuvo un 87.0%</w:t>
      </w:r>
      <w:r>
        <w:t xml:space="preserve"> de accuracy, confirmando la hipótesis del 80% y superando la línea base trivial de 73.2%.</w:t>
      </w:r>
    </w:p>
    <w:p>
      <w:pPr>
        <w:pStyle w:val="Heading1"/>
      </w:pPr>
      <w:r>
        <w:rPr>
          <w:color w:val="1A3D6D"/>
        </w:rPr>
        <w:t>1. Introducción</w:t>
      </w:r>
    </w:p>
    <w:p>
      <w:pPr>
        <w:spacing w:after="160" w:line="276" w:lineRule="auto"/>
        <w:jc w:val="both"/>
      </w:pPr>
      <w:r>
        <w:t xml:space="preserve">La industria de la confección textil es uno de los sectores manufactureros más intensivos en mano de obra. En este tipo de producción, la unidad operativa fundamental es el </w:t>
      </w:r>
      <w:r>
        <w:rPr>
          <w:b/>
        </w:rPr>
        <w:t>equipo</w:t>
      </w:r>
      <w:r>
        <w:t xml:space="preserve">, y el indicador que gobierna la planificación es la </w:t>
      </w:r>
      <w:r>
        <w:rPr>
          <w:b/>
        </w:rPr>
        <w:t>productividad</w:t>
      </w:r>
      <w:r>
        <w:t>: la razón entre lo producido y lo que se esperaba producir en una jornada. A cada equipo se le asigna diariamente una productividad objetivo, cuyo cumplimiento determina tiempos de entrega, costos por horas extra y, en definitiva, la rentabilidad.</w:t>
      </w:r>
    </w:p>
    <w:p>
      <w:pPr>
        <w:spacing w:after="160" w:line="276" w:lineRule="auto"/>
        <w:jc w:val="both"/>
      </w:pPr>
      <w:r>
        <w:t xml:space="preserve">El problema práctico es que la productividad de un equipo es altamente variable y su incumplimiento suele </w:t>
      </w:r>
      <w:r>
        <w:rPr>
          <w:b/>
        </w:rPr>
        <w:t>constatarse recién al cerrar la jornada</w:t>
      </w:r>
      <w:r>
        <w:t xml:space="preserve">, cuando ya no es posible intervenir. Frente a ello, este proyecto propone un enfoque </w:t>
      </w:r>
      <w:r>
        <w:rPr>
          <w:b/>
        </w:rPr>
        <w:t>predictivo y proactivo</w:t>
      </w:r>
      <w:r>
        <w:t xml:space="preserve">: anticipar, a partir de la información operativa y del </w:t>
      </w:r>
      <w:r>
        <w:rPr>
          <w:b/>
        </w:rPr>
        <w:t>historial reciente de cada equipo</w:t>
      </w:r>
      <w:r>
        <w:t>, si éste alcanzará su meta. La pregunta que articula el trabajo es: ¿se puede predecir hoy si un equipo cumplirá su meta a partir de su comportamiento reciente?</w:t>
      </w:r>
    </w:p>
    <w:p>
      <w:pPr>
        <w:spacing w:after="160" w:line="276" w:lineRule="auto"/>
        <w:jc w:val="both"/>
      </w:pPr>
      <w:r>
        <w:t xml:space="preserve">El dominio y los datos fueron introducidos por Imran et al. (2019) y difundidos mediante el repositorio UCI (Imran, 2020). A diferencia de otros trabajos que modelan la productividad como valor continuo, aquí se aborda como </w:t>
      </w:r>
      <w:r>
        <w:rPr>
          <w:b/>
        </w:rPr>
        <w:t>clasificación categórica</w:t>
      </w:r>
      <w:r>
        <w:t>, con énfasis en la construcción de variables temporales y en la selección de variables de entrada.</w:t>
      </w:r>
    </w:p>
    <w:p>
      <w:pPr>
        <w:pStyle w:val="Heading1"/>
      </w:pPr>
      <w:r>
        <w:rPr>
          <w:color w:val="1A3D6D"/>
        </w:rPr>
        <w:t>2. Marco Teórico</w:t>
      </w:r>
    </w:p>
    <w:p>
      <w:pPr>
        <w:pStyle w:val="Heading2"/>
      </w:pPr>
      <w:r>
        <w:rPr>
          <w:color w:val="2A5A9C"/>
        </w:rPr>
        <w:t>2.1 Metodologías</w:t>
      </w:r>
    </w:p>
    <w:p>
      <w:pPr>
        <w:spacing w:after="160" w:line="276" w:lineRule="auto"/>
        <w:jc w:val="both"/>
      </w:pPr>
      <w:r>
        <w:t xml:space="preserve">El trabajo se estructura según </w:t>
      </w:r>
      <w:r>
        <w:rPr>
          <w:b/>
        </w:rPr>
        <w:t>CRISP-DM</w:t>
      </w:r>
      <w:r>
        <w:t xml:space="preserve"> (Cross-Industry Standard Process for Data Mining; Wirth &amp;amp; Hipp, 2000), que organiza un proyecto en comprensión del negocio, comprensión de los datos, preparación, modelado y evaluación. La tarea se resuelve con </w:t>
      </w:r>
      <w:r>
        <w:rPr>
          <w:b/>
        </w:rPr>
        <w:t>aprendizaje supervisado</w:t>
      </w:r>
      <w:r>
        <w:t xml:space="preserve">: un modelo aprende, a partir de ejemplos etiquetados, la relación entre variables de entrada y una salida conocida; cuando esa salida es una categoría, se habla de </w:t>
      </w:r>
      <w:r>
        <w:rPr>
          <w:b/>
        </w:rPr>
        <w:t>clasificación</w:t>
      </w:r>
      <w:r>
        <w:t xml:space="preserve">. El objetivo continuo se convierte en binario mediante </w:t>
      </w:r>
      <w:r>
        <w:rPr>
          <w:b/>
        </w:rPr>
        <w:t>discretización</w:t>
      </w:r>
      <w:r>
        <w:t xml:space="preserve">. Para estimar el desempeño de forma honesta se emplean la </w:t>
      </w:r>
      <w:r>
        <w:rPr>
          <w:b/>
        </w:rPr>
        <w:t>validación cruzada</w:t>
      </w:r>
      <w:r>
        <w:t xml:space="preserve"> y, dado el componente temporal, una </w:t>
      </w:r>
      <w:r>
        <w:rPr>
          <w:b/>
        </w:rPr>
        <w:t>partición temporal</w:t>
      </w:r>
      <w:r>
        <w:t xml:space="preserve"> y la </w:t>
      </w:r>
      <w:r>
        <w:rPr>
          <w:b/>
        </w:rPr>
        <w:t>validación walk-forward</w:t>
      </w:r>
      <w:r>
        <w:t xml:space="preserve">, que evitan la </w:t>
      </w:r>
      <w:r>
        <w:rPr>
          <w:b/>
        </w:rPr>
        <w:t>fuga de información</w:t>
      </w:r>
      <w:r>
        <w:t xml:space="preserve"> (usar datos no disponibles al momento de predecir).</w:t>
      </w:r>
    </w:p>
    <w:p>
      <w:pPr>
        <w:pStyle w:val="Heading2"/>
      </w:pPr>
      <w:r>
        <w:rPr>
          <w:color w:val="2A5A9C"/>
        </w:rPr>
        <w:t>2.2 Modelos</w:t>
      </w:r>
    </w:p>
    <w:p>
      <w:pPr>
        <w:spacing w:after="160" w:line="276" w:lineRule="auto"/>
        <w:jc w:val="both"/>
      </w:pPr>
      <w:r>
        <w:t xml:space="preserve">Se comparan familias de clasificación vistas en el ramo. El </w:t>
      </w:r>
      <w:r>
        <w:rPr>
          <w:b/>
        </w:rPr>
        <w:t>árbol de decisión</w:t>
      </w:r>
      <w:r>
        <w:t xml:space="preserve"> divide los datos con preguntas sobre las variables; es interpretable pero propenso al sobreajuste. El </w:t>
      </w:r>
      <w:r>
        <w:rPr>
          <w:b/>
        </w:rPr>
        <w:t>Random Forest</w:t>
      </w:r>
      <w:r>
        <w:t xml:space="preserve"> combina muchos árboles sobre muestras y variables aleatorias (bagging), reduciendo la varianza. El </w:t>
      </w:r>
      <w:r>
        <w:rPr>
          <w:b/>
        </w:rPr>
        <w:t>AdaBoost</w:t>
      </w:r>
      <w:r>
        <w:t xml:space="preserve"> construye árboles secuenciales dando más peso a los casos mal clasificados (boosting). El </w:t>
      </w:r>
      <w:r>
        <w:rPr>
          <w:b/>
        </w:rPr>
        <w:t>Naive Bayes gaussiano</w:t>
      </w:r>
      <w:r>
        <w:t xml:space="preserve"> es un clasificador probabilístico basado en el teorema de Bayes. La </w:t>
      </w:r>
      <w:r>
        <w:rPr>
          <w:b/>
        </w:rPr>
        <w:t>máquina de soporte vectorial (SVM)</w:t>
      </w:r>
      <w:r>
        <w:t xml:space="preserve"> busca el hiperplano que mejor separa las clases y requiere estandarizar las variables. Como extensión se consideran algoritmos de </w:t>
      </w:r>
      <w:r>
        <w:rPr>
          <w:b/>
        </w:rPr>
        <w:t>gradient boosting</w:t>
      </w:r>
      <w:r>
        <w:t xml:space="preserve"> (XGBoost, LightGBM).</w:t>
      </w:r>
    </w:p>
    <w:p>
      <w:pPr>
        <w:pStyle w:val="Heading2"/>
      </w:pPr>
      <w:r>
        <w:rPr>
          <w:color w:val="2A5A9C"/>
        </w:rPr>
        <w:t>2.3 Herramientas</w:t>
      </w:r>
    </w:p>
    <w:p>
      <w:pPr>
        <w:spacing w:after="160" w:line="276" w:lineRule="auto"/>
        <w:jc w:val="both"/>
      </w:pPr>
      <w:r>
        <w:t xml:space="preserve">La implementación se realizó en </w:t>
      </w:r>
      <w:r>
        <w:rPr>
          <w:b/>
        </w:rPr>
        <w:t>Python</w:t>
      </w:r>
      <w:r>
        <w:t xml:space="preserve"> sobre </w:t>
      </w:r>
      <w:r>
        <w:rPr>
          <w:b/>
        </w:rPr>
        <w:t>Google Colab</w:t>
      </w:r>
      <w:r>
        <w:t xml:space="preserve">. Se utilizaron: </w:t>
      </w:r>
      <w:r>
        <w:rPr>
          <w:b/>
        </w:rPr>
        <w:t>pandas</w:t>
      </w:r>
      <w:r>
        <w:t xml:space="preserve"> y </w:t>
      </w:r>
      <w:r>
        <w:rPr>
          <w:b/>
        </w:rPr>
        <w:t>NumPy</w:t>
      </w:r>
      <w:r>
        <w:t xml:space="preserve"> para la manipulación de datos; </w:t>
      </w:r>
      <w:r>
        <w:rPr>
          <w:b/>
        </w:rPr>
        <w:t>scikit-learn</w:t>
      </w:r>
      <w:r>
        <w:t xml:space="preserve"> (Pedregosa et al., 2011) para el modelado, la validación y las métricas; </w:t>
      </w:r>
      <w:r>
        <w:rPr>
          <w:b/>
        </w:rPr>
        <w:t>matplotlib</w:t>
      </w:r>
      <w:r>
        <w:t xml:space="preserve"> y </w:t>
      </w:r>
      <w:r>
        <w:rPr>
          <w:b/>
        </w:rPr>
        <w:t>seaborn</w:t>
      </w:r>
      <w:r>
        <w:t xml:space="preserve"> para la visualización; </w:t>
      </w:r>
      <w:r>
        <w:rPr>
          <w:b/>
        </w:rPr>
        <w:t>XGBoost</w:t>
      </w:r>
      <w:r>
        <w:t xml:space="preserve">, </w:t>
      </w:r>
      <w:r>
        <w:rPr>
          <w:b/>
        </w:rPr>
        <w:t>LightGBM</w:t>
      </w:r>
      <w:r>
        <w:t xml:space="preserve"> e </w:t>
      </w:r>
      <w:r>
        <w:rPr>
          <w:b/>
        </w:rPr>
        <w:t>imbalanced-learn</w:t>
      </w:r>
      <w:r>
        <w:t xml:space="preserve"> (SMOTE) para la extensión de modelos y el manejo del desbalance; y </w:t>
      </w:r>
      <w:r>
        <w:rPr>
          <w:b/>
        </w:rPr>
        <w:t>ucimlrepo</w:t>
      </w:r>
      <w:r>
        <w:t xml:space="preserve"> para la carga del conjunto de datos. La reproducibilidad se garantizó fijando la semilla aleatoria en 42.</w:t>
      </w:r>
    </w:p>
    <w:p>
      <w:pPr>
        <w:pStyle w:val="Heading1"/>
      </w:pPr>
      <w:r>
        <w:rPr>
          <w:color w:val="1A3D6D"/>
        </w:rPr>
        <w:t>3. Comprensión del Negocio</w:t>
      </w:r>
    </w:p>
    <w:p>
      <w:pPr>
        <w:pStyle w:val="Heading2"/>
      </w:pPr>
      <w:r>
        <w:rPr>
          <w:color w:val="2A5A9C"/>
        </w:rPr>
        <w:t>3.1 Definición del Problema</w:t>
      </w:r>
    </w:p>
    <w:p>
      <w:pPr>
        <w:spacing w:after="160" w:line="276" w:lineRule="auto"/>
        <w:jc w:val="both"/>
      </w:pPr>
      <w:r>
        <w:t xml:space="preserve">La detección del bajo desempeño productivo es actualmente </w:t>
      </w:r>
      <w:r>
        <w:rPr>
          <w:b/>
        </w:rPr>
        <w:t>reactiva</w:t>
      </w:r>
      <w:r>
        <w:t>: se confirma al finalizar la jornada, sin margen de intervención, lo que genera incumplimientos de entrega, sobrecostos por horas extra y una supervisión sin criterios anticipatorios. Se requiere un mecanismo que —usando el comportamiento reciente de cada equipo y sus condiciones operativas— permita anticipar el riesgo de incumplimiento y priorizar la supervisión sobre los equipos más vulnerables.</w:t>
      </w:r>
    </w:p>
    <w:p>
      <w:pPr>
        <w:pStyle w:val="Heading2"/>
      </w:pPr>
      <w:r>
        <w:rPr>
          <w:color w:val="2A5A9C"/>
        </w:rPr>
        <w:t>3.2 Solución Propuesta</w:t>
      </w:r>
    </w:p>
    <w:p>
      <w:pPr>
        <w:spacing w:after="160" w:line="276" w:lineRule="auto"/>
        <w:jc w:val="both"/>
      </w:pPr>
      <w:r>
        <w:t xml:space="preserve">Se propone un </w:t>
      </w:r>
      <w:r>
        <w:rPr>
          <w:b/>
        </w:rPr>
        <w:t>modelo de clasificación binaria</w:t>
      </w:r>
      <w:r>
        <w:t xml:space="preserve"> que, para una jornada dada, prediga si un equipo </w:t>
      </w:r>
      <w:r>
        <w:rPr>
          <w:b/>
        </w:rPr>
        <w:t>cumplirá o no</w:t>
      </w:r>
      <w:r>
        <w:t xml:space="preserve"> su productividad objetivo. La solución se apoya en dos pilares: (1) </w:t>
      </w:r>
      <w:r>
        <w:rPr>
          <w:b/>
        </w:rPr>
        <w:t>variables temporales por equipo</w:t>
      </w:r>
      <w:r>
        <w:t xml:space="preserve"> que capturan la inercia y el momento del desempeño reciente; y (2) una </w:t>
      </w:r>
      <w:r>
        <w:rPr>
          <w:b/>
        </w:rPr>
        <w:t>selección de variables</w:t>
      </w:r>
      <w:r>
        <w:t xml:space="preserve"> que gestiona redundancias y evalúa deliberadamente excluir la productividad objetivo (un predictor «atajo»), para demostrar que la predicción se sostiene en información operativa y temporal genuina. El resultado es una herramienta de alerta temprana sobre los equipos en riesgo.</w:t>
      </w:r>
    </w:p>
    <w:p>
      <w:pPr>
        <w:pStyle w:val="Heading2"/>
      </w:pPr>
      <w:r>
        <w:rPr>
          <w:color w:val="2A5A9C"/>
        </w:rPr>
        <w:t>3.3 Objetivos</w:t>
      </w:r>
    </w:p>
    <w:p>
      <w:pPr>
        <w:spacing w:after="160" w:line="276" w:lineRule="auto"/>
        <w:jc w:val="both"/>
      </w:pPr>
      <w:r>
        <w:rPr>
          <w:b/>
        </w:rPr>
        <w:t>Objetivo general.</w:t>
      </w:r>
      <w:r>
        <w:t xml:space="preserve"> Construir y evaluar un modelo de clasificación binaria que determine si un equipo alcanzará su productividad objetivo en una jornada, logrando al menos un 80% de accuracy, a partir de variables operativas y del comportamiento temporal reciente.</w:t>
      </w:r>
    </w:p>
    <w:p>
      <w:pPr>
        <w:spacing w:after="160" w:line="276" w:lineRule="auto"/>
        <w:jc w:val="both"/>
      </w:pPr>
      <w:r>
        <w:rPr>
          <w:b/>
        </w:rPr>
        <w:t>Objetivos específicos.</w:t>
      </w:r>
    </w:p>
    <w:p>
      <w:pPr>
        <w:spacing w:after="160" w:line="276" w:lineRule="auto"/>
        <w:jc w:val="both"/>
      </w:pPr>
      <w:r>
        <w:t>1. Explorar, limpiar y preparar los datos (nulos, corrección de categorías y discretización del target).</w:t>
      </w:r>
    </w:p>
    <w:p>
      <w:pPr>
        <w:spacing w:after="160" w:line="276" w:lineRule="auto"/>
        <w:jc w:val="both"/>
      </w:pPr>
      <w:r>
        <w:t>2. Construir las variables temporales por equipo (retardo, media móvil, tendencia y antigüedad de estilo).</w:t>
      </w:r>
    </w:p>
    <w:p>
      <w:pPr>
        <w:spacing w:after="160" w:line="276" w:lineRule="auto"/>
        <w:jc w:val="both"/>
      </w:pPr>
      <w:r>
        <w:t>3. Aplicar selección de variables, evaluando el efecto de excluir la productividad objetivo.</w:t>
      </w:r>
    </w:p>
    <w:p>
      <w:pPr>
        <w:spacing w:after="160" w:line="276" w:lineRule="auto"/>
        <w:jc w:val="both"/>
      </w:pPr>
      <w:r>
        <w:t>4. Entrenar y comparar modelos de clasificación, evaluándolos con validación adecuada.</w:t>
      </w:r>
    </w:p>
    <w:p>
      <w:pPr>
        <w:pStyle w:val="Heading2"/>
      </w:pPr>
      <w:r>
        <w:rPr>
          <w:color w:val="2A5A9C"/>
        </w:rPr>
        <w:t>3.4 Hipótesis</w:t>
      </w:r>
    </w:p>
    <w:p>
      <w:pPr>
        <w:spacing w:after="160" w:line="276" w:lineRule="auto"/>
        <w:jc w:val="both"/>
      </w:pPr>
      <w:r>
        <w:rPr>
          <w:i/>
        </w:rPr>
        <w:t>Es posible construir un modelo de clasificación que determine con al menos un 80% de certeza (accuracy) si un equipo de la fábrica alcanzará su productividad objetivo en una jornada dada, a partir de sus variables operativas y de su comportamiento temporal reciente.</w:t>
      </w:r>
    </w:p>
    <w:p>
      <w:pPr>
        <w:pStyle w:val="Heading1"/>
      </w:pPr>
      <w:r>
        <w:rPr>
          <w:color w:val="1A3D6D"/>
        </w:rPr>
        <w:t>4. Comprensión de los Datos</w:t>
      </w:r>
    </w:p>
    <w:p>
      <w:pPr>
        <w:pStyle w:val="Heading2"/>
      </w:pPr>
      <w:r>
        <w:rPr>
          <w:color w:val="2A5A9C"/>
        </w:rPr>
        <w:t>4.1 Descripción del Dataset</w:t>
      </w:r>
    </w:p>
    <w:p>
      <w:pPr>
        <w:spacing w:after="160" w:line="276" w:lineRule="auto"/>
        <w:jc w:val="both"/>
      </w:pPr>
      <w:r>
        <w:t xml:space="preserve">Se utiliza el conjunto </w:t>
      </w:r>
      <w:r>
        <w:rPr>
          <w:b/>
        </w:rPr>
        <w:t>Productivity Prediction of Garment Employees</w:t>
      </w:r>
      <w:r>
        <w:t xml:space="preserve"> (Imran, 2020; UCI Machine Learning Repository, id 597), con </w:t>
      </w:r>
      <w:r>
        <w:rPr>
          <w:b/>
        </w:rPr>
        <w:t>1197 registros</w:t>
      </w:r>
      <w:r>
        <w:t xml:space="preserve"> y </w:t>
      </w:r>
      <w:r>
        <w:rPr>
          <w:b/>
        </w:rPr>
        <w:t>15 columnas</w:t>
      </w:r>
      <w:r>
        <w:t xml:space="preserve"> (11 numéricas y 4 categóricas), correspondientes a un periodo de tres meses (enero a marzo de 2015). Cada registro describe el desempeño de un equipo en una jornada y un departamento.</w:t>
      </w:r>
    </w:p>
    <w:p>
      <w:pPr>
        <w:pStyle w:val="Heading2"/>
      </w:pPr>
      <w:r>
        <w:rPr>
          <w:color w:val="2A5A9C"/>
        </w:rPr>
        <w:t>4.2 Descripción de variables</w:t>
      </w:r>
    </w:p>
    <w:p>
      <w:pPr>
        <w:spacing w:after="20"/>
      </w:pPr>
      <w:r>
        <w:rPr>
          <w:b/>
          <w:sz w:val="19"/>
        </w:rPr>
        <w:t>Tabla 1</w:t>
      </w:r>
    </w:p>
    <w:p>
      <w:pPr>
        <w:spacing w:after="60"/>
      </w:pPr>
      <w:r>
        <w:rPr>
          <w:i/>
          <w:sz w:val="19"/>
        </w:rPr>
        <w:t>Descripción de las variables del conjunto de datos.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381"/>
            <w:shd w:val="clear" w:color="auto" w:fill="1A3D6D"/>
          </w:tcPr>
          <w:p>
            <w:r/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304"/>
            <w:shd w:val="clear" w:color="auto" w:fill="1A3D6D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5386"/>
            <w:shd w:val="clear" w:color="auto" w:fill="1A3D6D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Fecha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Fecha de la jornada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day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Categórica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Día de la semana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quarter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Categórica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Nominalmente «trimestre»; en realidad la semana del mes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department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Categórica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Departamento (sewing / finishing)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team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Categórica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Identificador del equipo (1 a 12)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targeted_productivity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Numérica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Productividad objetivo asignada (0–1)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smv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Numérica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Standard Minute Value: tiempo estándar de la tarea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wip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Numérica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Work in progress: trabajo en proceso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over_time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Numérica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Horas extra (en minutos)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incentive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Numérica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Incentivo económico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idle_time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Numérica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Tiempo ocioso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idle_men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Numérica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Trabajadores inactivos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no_of_style_change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Numérica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Número de cambios de estilo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no_of_workers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Numérica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Número de trabajadores del equipo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actual_productivity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Numérica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Productividad real (0–1)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i/>
          <w:color w:val="555555"/>
          <w:sz w:val="17"/>
        </w:rPr>
        <w:t xml:space="preserve">Nota. </w:t>
      </w:r>
      <w:r>
        <w:rPr>
          <w:color w:val="555555"/>
          <w:sz w:val="17"/>
        </w:rPr>
        <w:t>Elaboración propia con base en los datos de Imran (2020).</w:t>
      </w:r>
    </w:p>
    <w:p>
      <w:pPr>
        <w:spacing w:after="160" w:line="276" w:lineRule="auto"/>
        <w:jc w:val="both"/>
      </w:pPr>
      <w:r>
        <w:rPr>
          <w:b/>
        </w:rPr>
        <w:t>Input candidatos.</w:t>
      </w:r>
      <w:r>
        <w:t xml:space="preserve"> Como variables de entrada se consideran las </w:t>
      </w:r>
      <w:r>
        <w:rPr>
          <w:b/>
        </w:rPr>
        <w:t>operativas</w:t>
      </w:r>
      <w:r>
        <w:t xml:space="preserve"> (smv, wip, over_time, incentive, idle_time, idle_men, no_of_style_change, no_of_workers), las </w:t>
      </w:r>
      <w:r>
        <w:rPr>
          <w:b/>
        </w:rPr>
        <w:t>categóricas</w:t>
      </w:r>
      <w:r>
        <w:t xml:space="preserve"> (day, week, department, team) y las </w:t>
      </w:r>
      <w:r>
        <w:rPr>
          <w:b/>
        </w:rPr>
        <w:t>temporales derivadas</w:t>
      </w:r>
      <w:r>
        <w:t xml:space="preserve"> que se construyen en la preparación (retardo, media móvil, tendencia y antigüedad de estilo).</w:t>
      </w:r>
    </w:p>
    <w:p>
      <w:pPr>
        <w:spacing w:after="160" w:line="276" w:lineRule="auto"/>
        <w:jc w:val="both"/>
      </w:pPr>
      <w:r>
        <w:rPr>
          <w:b/>
        </w:rPr>
        <w:t>Target candidatos.</w:t>
      </w:r>
      <w:r>
        <w:t xml:space="preserve"> La variable </w:t>
      </w:r>
      <w:r>
        <w:rPr>
          <w:b/>
        </w:rPr>
        <w:t>actual_productivity</w:t>
      </w:r>
      <w:r>
        <w:t xml:space="preserve"> (continua, 0–1) es la base del objetivo: se discretiza en la etiqueta binaria </w:t>
      </w:r>
      <w:r>
        <w:rPr>
          <w:b/>
        </w:rPr>
        <w:t>cumple</w:t>
      </w:r>
      <w:r>
        <w:t xml:space="preserve">. La variable </w:t>
      </w:r>
      <w:r>
        <w:rPr>
          <w:b/>
        </w:rPr>
        <w:t>targeted_productivity</w:t>
      </w:r>
      <w:r>
        <w:t xml:space="preserve"> interviene en la definición del target (cumple si la real ≥ la objetivo); por su vínculo directo con la etiqueta se la trata como predictor «atajo» y se evalúa su exclusión de los inputs.</w:t>
      </w:r>
    </w:p>
    <w:p>
      <w:pPr>
        <w:pStyle w:val="Heading1"/>
      </w:pPr>
      <w:r>
        <w:rPr>
          <w:color w:val="1A3D6D"/>
        </w:rPr>
        <w:t>5. Preparación de los Datos</w:t>
      </w:r>
    </w:p>
    <w:p>
      <w:pPr>
        <w:pStyle w:val="Heading2"/>
      </w:pPr>
      <w:r>
        <w:rPr>
          <w:color w:val="2A5A9C"/>
        </w:rPr>
        <w:t>5.1 Tratamiento de valores perdidos</w:t>
      </w:r>
    </w:p>
    <w:p>
      <w:pPr>
        <w:spacing w:after="160" w:line="276" w:lineRule="auto"/>
        <w:jc w:val="both"/>
      </w:pPr>
      <w:r>
        <w:t xml:space="preserve">La variable </w:t>
      </w:r>
      <w:r>
        <w:rPr>
          <w:b/>
        </w:rPr>
        <w:t>wip</w:t>
      </w:r>
      <w:r>
        <w:t xml:space="preserve"> presenta </w:t>
      </w:r>
      <w:r>
        <w:rPr>
          <w:b/>
        </w:rPr>
        <w:t>506 valores nulos</w:t>
      </w:r>
      <w:r>
        <w:t xml:space="preserve">, que no son aleatorios: corresponden al departamento finishing, en el que —por la naturaleza del proceso— no existe trabajo en proceso. Por ello se imputan con el valor </w:t>
      </w:r>
      <w:r>
        <w:rPr>
          <w:b/>
        </w:rPr>
        <w:t>0</w:t>
      </w:r>
      <w:r>
        <w:t>, decisión semánticamente correcta que además conserva la totalidad de los registros.</w:t>
      </w:r>
    </w:p>
    <w:p>
      <w:pPr>
        <w:pStyle w:val="Heading2"/>
      </w:pPr>
      <w:r>
        <w:rPr>
          <w:color w:val="2A5A9C"/>
        </w:rPr>
        <w:t>5.2 Análisis descriptivo de los datos</w:t>
      </w:r>
    </w:p>
    <w:p>
      <w:pPr>
        <w:spacing w:after="160" w:line="276" w:lineRule="auto"/>
        <w:jc w:val="both"/>
      </w:pPr>
      <w:r>
        <w:t xml:space="preserve">El análisis exploratorio (Figura 1) muestra que la productividad real se concentra en valores altos (0,70–0,80), la productividad objetivo adopta valores discretos y las horas extra están sesgadas a la derecha. Al discretizar el objetivo, el balance de clases (Figura 2) es de </w:t>
      </w:r>
      <w:r>
        <w:rPr>
          <w:b/>
        </w:rPr>
        <w:t>875 «cumple» (73.1%)</w:t>
      </w:r>
      <w:r>
        <w:t xml:space="preserve"> frente a </w:t>
      </w:r>
      <w:r>
        <w:rPr>
          <w:b/>
        </w:rPr>
        <w:t>322 «no cumple» (26.9%)</w:t>
      </w:r>
      <w:r>
        <w:t>: un desbalance relevante, pues un clasificador trivial que siempre predijera «cumple» acertaría cerca del 73.1%.</w:t>
      </w:r>
    </w:p>
    <w:p>
      <w:pPr>
        <w:spacing w:after="20"/>
      </w:pPr>
      <w:r>
        <w:rPr>
          <w:b/>
          <w:sz w:val="19"/>
        </w:rPr>
        <w:t>Figura 1</w:t>
      </w:r>
    </w:p>
    <w:p>
      <w:pPr>
        <w:spacing w:after="40"/>
      </w:pPr>
      <w:r>
        <w:rPr>
          <w:i/>
          <w:sz w:val="19"/>
        </w:rPr>
        <w:t>Distribución de las variables clave.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586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istribucion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86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i/>
          <w:color w:val="555555"/>
          <w:sz w:val="17"/>
        </w:rPr>
        <w:t xml:space="preserve">Nota. </w:t>
      </w:r>
      <w:r>
        <w:rPr>
          <w:color w:val="555555"/>
          <w:sz w:val="17"/>
        </w:rPr>
        <w:t>Elaboración propia con base en los datos de Imran (2020), procesados con scikit-learn (Pedregosa et al., 2011).</w:t>
      </w:r>
    </w:p>
    <w:p>
      <w:pPr>
        <w:spacing w:after="20"/>
      </w:pPr>
      <w:r>
        <w:rPr>
          <w:b/>
          <w:sz w:val="19"/>
        </w:rPr>
        <w:t>Figura 2</w:t>
      </w:r>
    </w:p>
    <w:p>
      <w:pPr>
        <w:spacing w:after="40"/>
      </w:pPr>
      <w:r>
        <w:rPr>
          <w:i/>
          <w:sz w:val="19"/>
        </w:rPr>
        <w:t>Balance de clases de la variable objetivo (cumple).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27186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bal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718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i/>
          <w:color w:val="555555"/>
          <w:sz w:val="17"/>
        </w:rPr>
        <w:t xml:space="preserve">Nota. </w:t>
      </w:r>
      <w:r>
        <w:rPr>
          <w:color w:val="555555"/>
          <w:sz w:val="17"/>
        </w:rPr>
        <w:t>Elaboración propia con base en los datos de Imran (2020), procesados con scikit-learn (Pedregosa et al., 2011).</w:t>
      </w:r>
    </w:p>
    <w:p>
      <w:pPr>
        <w:spacing w:after="160" w:line="276" w:lineRule="auto"/>
        <w:jc w:val="both"/>
      </w:pPr>
      <w:r>
        <w:t xml:space="preserve">Se analizaron además los </w:t>
      </w:r>
      <w:r>
        <w:rPr>
          <w:b/>
        </w:rPr>
        <w:t>valores atípicos</w:t>
      </w:r>
      <w:r>
        <w:t xml:space="preserve"> con el criterio del rango intercuartílico (IQR; Figura 3, Tabla 2). Se hallaron extremos operativos legítimos (wip hasta 23.122, over_time hasta 25.920) y «atípicos» que son artefactos de variables discretas (no_of_style_change, idle_time). En consecuencia, se optó por </w:t>
      </w:r>
      <w:r>
        <w:rPr>
          <w:b/>
        </w:rPr>
        <w:t>conservarlos</w:t>
      </w:r>
      <w:r>
        <w:t xml:space="preserve"> (sin recorte ni winsorización): representan eventos reales que interesa predecir, el Random Forest es robusto a ellos y la SVM se estandariza.</w:t>
      </w:r>
    </w:p>
    <w:p>
      <w:pPr>
        <w:spacing w:after="20"/>
      </w:pPr>
      <w:r>
        <w:rPr>
          <w:b/>
          <w:sz w:val="19"/>
        </w:rPr>
        <w:t>Figura 3</w:t>
      </w:r>
    </w:p>
    <w:p>
      <w:pPr>
        <w:spacing w:after="40"/>
      </w:pPr>
      <w:r>
        <w:rPr>
          <w:i/>
          <w:sz w:val="19"/>
        </w:rPr>
        <w:t>Diagramas de caja de las variables operativas (detección de valores atípicos).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8395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utli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39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i/>
          <w:color w:val="555555"/>
          <w:sz w:val="17"/>
        </w:rPr>
        <w:t xml:space="preserve">Nota. </w:t>
      </w:r>
      <w:r>
        <w:rPr>
          <w:color w:val="555555"/>
          <w:sz w:val="17"/>
        </w:rPr>
        <w:t>Elaboración propia con base en los datos de Imran (2020), procesados con scikit-learn (Pedregosa et al., 2011).</w:t>
      </w:r>
    </w:p>
    <w:p>
      <w:pPr>
        <w:spacing w:after="20"/>
      </w:pPr>
      <w:r>
        <w:rPr>
          <w:b/>
          <w:sz w:val="19"/>
        </w:rPr>
        <w:t>Tabla 2</w:t>
      </w:r>
    </w:p>
    <w:p>
      <w:pPr>
        <w:spacing w:after="60"/>
      </w:pPr>
      <w:r>
        <w:rPr>
          <w:i/>
          <w:sz w:val="19"/>
        </w:rPr>
        <w:t>Incidencia de valores atípicos por variable según el criterio IQR.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4535"/>
            <w:shd w:val="clear" w:color="auto" w:fill="1A3D6D"/>
          </w:tcPr>
          <w:p>
            <w:r/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551"/>
            <w:shd w:val="clear" w:color="auto" w:fill="1A3D6D"/>
          </w:tcPr>
          <w:p>
            <w:r/>
            <w:r>
              <w:rPr>
                <w:b/>
                <w:color w:val="FFFFFF"/>
                <w:sz w:val="18"/>
              </w:rPr>
              <w:t>Atípicos (IQR)</w:t>
            </w:r>
          </w:p>
        </w:tc>
        <w:tc>
          <w:tcPr>
            <w:tcW w:type="dxa" w:w="2551"/>
            <w:shd w:val="clear" w:color="auto" w:fill="1A3D6D"/>
          </w:tcPr>
          <w:p>
            <w:r/>
            <w:r>
              <w:rPr>
                <w:b/>
                <w:color w:val="FFFFFF"/>
                <w:sz w:val="18"/>
              </w:rPr>
              <w:t>% del total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no_of_style_change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147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12.3%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targeted_productivity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79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6.6%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actual_productivity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4.5%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idle_time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1.5%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idle_men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1.5%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incentive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0.9%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wip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0.8%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over_time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0.1%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smv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no_of_workers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0.0%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i/>
          <w:color w:val="555555"/>
          <w:sz w:val="17"/>
        </w:rPr>
        <w:t xml:space="preserve">Nota. </w:t>
      </w:r>
      <w:r>
        <w:rPr>
          <w:color w:val="555555"/>
          <w:sz w:val="17"/>
        </w:rPr>
        <w:t>Elaboración propia con base en los datos de Imran (2020).</w:t>
      </w:r>
    </w:p>
    <w:p>
      <w:pPr>
        <w:pStyle w:val="Heading2"/>
      </w:pPr>
      <w:r>
        <w:rPr>
          <w:color w:val="2A5A9C"/>
        </w:rPr>
        <w:t>5.3 Transformación de variables</w:t>
      </w:r>
    </w:p>
    <w:p>
      <w:pPr>
        <w:spacing w:after="160" w:line="276" w:lineRule="auto"/>
        <w:jc w:val="both"/>
      </w:pPr>
      <w:r>
        <w:t xml:space="preserve">Se corrigió el error tipográfico del departamento («sweing» → «sewing»); se reinterpretó </w:t>
      </w:r>
      <w:r>
        <w:rPr>
          <w:b/>
        </w:rPr>
        <w:t>quarter</w:t>
      </w:r>
      <w:r>
        <w:t xml:space="preserve"> como la </w:t>
      </w:r>
      <w:r>
        <w:rPr>
          <w:b/>
        </w:rPr>
        <w:t>semana del mes</w:t>
      </w:r>
      <w:r>
        <w:t xml:space="preserve"> (renombrada week); se convirtió </w:t>
      </w:r>
      <w:r>
        <w:rPr>
          <w:b/>
        </w:rPr>
        <w:t>date</w:t>
      </w:r>
      <w:r>
        <w:t xml:space="preserve"> a tipo fecha; y se discretizó el objetivo en </w:t>
      </w:r>
      <w:r>
        <w:rPr>
          <w:b/>
        </w:rPr>
        <w:t>cumple = 1</w:t>
      </w:r>
      <w:r>
        <w:t xml:space="preserve"> si actual_productivity ≥ targeted_productivity, y 0 en caso contrario. Además, se </w:t>
      </w:r>
      <w:r>
        <w:rPr>
          <w:b/>
        </w:rPr>
        <w:t>construyeron las variables temporales por equipo</w:t>
      </w:r>
      <w:r>
        <w:t xml:space="preserve"> (eje del proyecto): tras ordenar por equipo y fecha se derivaron </w:t>
      </w:r>
      <w:r>
        <w:rPr>
          <w:b/>
        </w:rPr>
        <w:t>prod_lag1</w:t>
      </w:r>
      <w:r>
        <w:t xml:space="preserve"> (jornada anterior), </w:t>
      </w:r>
      <w:r>
        <w:rPr>
          <w:b/>
        </w:rPr>
        <w:t>prod_media_movil3</w:t>
      </w:r>
      <w:r>
        <w:t xml:space="preserve"> (media de 3 jornadas), </w:t>
      </w:r>
      <w:r>
        <w:rPr>
          <w:b/>
        </w:rPr>
        <w:t>tendencia</w:t>
      </w:r>
      <w:r>
        <w:t xml:space="preserve"> (sube/baja) y </w:t>
      </w:r>
      <w:r>
        <w:rPr>
          <w:b/>
        </w:rPr>
        <w:t>reg_desde_cambio_estilo</w:t>
      </w:r>
      <w:r>
        <w:t xml:space="preserve">, todas calculadas </w:t>
      </w:r>
      <w:r>
        <w:rPr>
          <w:b/>
        </w:rPr>
        <w:t>solo con información pasada</w:t>
      </w:r>
      <w:r>
        <w:t xml:space="preserve"> para no generar fuga. Finalmente, las categóricas se transformaron con </w:t>
      </w:r>
      <w:r>
        <w:rPr>
          <w:b/>
        </w:rPr>
        <w:t>one-hot encoding</w:t>
      </w:r>
      <w:r>
        <w:t>.</w:t>
      </w:r>
    </w:p>
    <w:p>
      <w:pPr>
        <w:pStyle w:val="Heading2"/>
      </w:pPr>
      <w:r>
        <w:rPr>
          <w:color w:val="2A5A9C"/>
        </w:rPr>
        <w:t>5.4 Agrupamiento de variables</w:t>
      </w:r>
    </w:p>
    <w:p>
      <w:pPr>
        <w:spacing w:after="160" w:line="276" w:lineRule="auto"/>
        <w:jc w:val="both"/>
      </w:pPr>
      <w:r>
        <w:t xml:space="preserve">Se examinaron las relaciones entre variables numéricas mediante un mapa de calor de correlaciones (Figura 4). Se detectaron </w:t>
      </w:r>
      <w:r>
        <w:rPr>
          <w:b/>
        </w:rPr>
        <w:t>grupos de variables redundantes</w:t>
      </w:r>
      <w:r>
        <w:t>: no_of_workers, smv y over_time están fuertemente correlacionadas (no_of_workers–smv = 0.91; over_time–no_of_workers = 0.73), por lo que aportan información parcialmente duplicada. Este agrupamiento orienta la selección de variables. Adicionalmente, cada variable categórica se agrupa en sus categorías mediante one-hot, y de forma exploratoria se aplicó un agrupamiento no supervisado (K-Means) que se comenta junto al análisis factorial.</w:t>
      </w:r>
    </w:p>
    <w:p>
      <w:pPr>
        <w:spacing w:after="20"/>
      </w:pPr>
      <w:r>
        <w:rPr>
          <w:b/>
          <w:sz w:val="19"/>
        </w:rPr>
        <w:t>Figura 4</w:t>
      </w:r>
    </w:p>
    <w:p>
      <w:pPr>
        <w:spacing w:after="40"/>
      </w:pPr>
      <w:r>
        <w:rPr>
          <w:i/>
          <w:sz w:val="19"/>
        </w:rPr>
        <w:t>Mapa de calor de correlaciones entre las variables numéricas.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129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orrelaci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29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i/>
          <w:color w:val="555555"/>
          <w:sz w:val="17"/>
        </w:rPr>
        <w:t xml:space="preserve">Nota. </w:t>
      </w:r>
      <w:r>
        <w:rPr>
          <w:color w:val="555555"/>
          <w:sz w:val="17"/>
        </w:rPr>
        <w:t>Elaboración propia con base en los datos de Imran (2020), procesados con scikit-learn (Pedregosa et al., 2011).</w:t>
      </w:r>
    </w:p>
    <w:p>
      <w:pPr>
        <w:pStyle w:val="Heading2"/>
      </w:pPr>
      <w:r>
        <w:rPr>
          <w:color w:val="2A5A9C"/>
        </w:rPr>
        <w:t>5.5 Análisis Factorial</w:t>
      </w:r>
    </w:p>
    <w:p>
      <w:pPr>
        <w:spacing w:after="160" w:line="276" w:lineRule="auto"/>
        <w:jc w:val="both"/>
      </w:pPr>
      <w:r>
        <w:t xml:space="preserve">Para explorar la estructura latente de los datos y reducir la dimensionalidad se aplicó un </w:t>
      </w:r>
      <w:r>
        <w:rPr>
          <w:b/>
        </w:rPr>
        <w:t>Análisis de Componentes Principales (PCA)</w:t>
      </w:r>
      <w:r>
        <w:t xml:space="preserve">, técnica emparentada con el análisis factorial. Las dos primeras componentes explican solo el </w:t>
      </w:r>
      <w:r>
        <w:rPr>
          <w:b/>
        </w:rPr>
        <w:t>18.8%</w:t>
      </w:r>
      <w:r>
        <w:t xml:space="preserve"> de la varianza —reflejo de la alta dimensionalidad tras la codificación— y las clases aparecen </w:t>
      </w:r>
      <w:r>
        <w:rPr>
          <w:b/>
        </w:rPr>
        <w:t>solapadas</w:t>
      </w:r>
      <w:r>
        <w:t xml:space="preserve"> (Figura 5). Un agrupamiento </w:t>
      </w:r>
      <w:r>
        <w:rPr>
          <w:b/>
        </w:rPr>
        <w:t>K-Means (k=2)</w:t>
      </w:r>
      <w:r>
        <w:t xml:space="preserve"> sobre el mismo espacio no reproduce las clases, lo que confirma que el problema </w:t>
      </w:r>
      <w:r>
        <w:rPr>
          <w:b/>
        </w:rPr>
        <w:t>no es trivialmente separable</w:t>
      </w:r>
      <w:r>
        <w:t xml:space="preserve"> y justifica el uso de modelos supervisados no lineales.</w:t>
      </w:r>
    </w:p>
    <w:p>
      <w:pPr>
        <w:spacing w:after="20"/>
      </w:pPr>
      <w:r>
        <w:rPr>
          <w:b/>
          <w:sz w:val="19"/>
        </w:rPr>
        <w:t>Figura 5</w:t>
      </w:r>
    </w:p>
    <w:p>
      <w:pPr>
        <w:spacing w:after="40"/>
      </w:pPr>
      <w:r>
        <w:rPr>
          <w:i/>
          <w:sz w:val="19"/>
        </w:rPr>
        <w:t>Proyección PCA en 2D por clase real (izquierda) y por clúster de K-Means (derecha).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33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ca_kmea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33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i/>
          <w:color w:val="555555"/>
          <w:sz w:val="17"/>
        </w:rPr>
        <w:t xml:space="preserve">Nota. </w:t>
      </w:r>
      <w:r>
        <w:rPr>
          <w:color w:val="555555"/>
          <w:sz w:val="17"/>
        </w:rPr>
        <w:t>Elaboración propia con base en los datos de Imran (2020), procesados con scikit-learn (Pedregosa et al., 2011).</w:t>
      </w:r>
    </w:p>
    <w:p>
      <w:pPr>
        <w:pStyle w:val="Heading2"/>
      </w:pPr>
      <w:r>
        <w:rPr>
          <w:color w:val="2A5A9C"/>
        </w:rPr>
        <w:t>5.6 Definición de variables Input y Target</w:t>
      </w:r>
    </w:p>
    <w:p>
      <w:pPr>
        <w:spacing w:after="160" w:line="276" w:lineRule="auto"/>
        <w:jc w:val="both"/>
      </w:pPr>
      <w:r>
        <w:t xml:space="preserve">El </w:t>
      </w:r>
      <w:r>
        <w:rPr>
          <w:b/>
        </w:rPr>
        <w:t>target</w:t>
      </w:r>
      <w:r>
        <w:t xml:space="preserve"> es la variable binaria </w:t>
      </w:r>
      <w:r>
        <w:rPr>
          <w:b/>
        </w:rPr>
        <w:t>cumple</w:t>
      </w:r>
      <w:r>
        <w:t xml:space="preserve">. Como </w:t>
      </w:r>
      <w:r>
        <w:rPr>
          <w:b/>
        </w:rPr>
        <w:t>inputs</w:t>
      </w:r>
      <w:r>
        <w:t xml:space="preserve"> se excluyen date, actual_productivity y cumple (para evitar fuga) y, tras la codificación, se definen dos conjuntos: el </w:t>
      </w:r>
      <w:r>
        <w:rPr>
          <w:b/>
        </w:rPr>
        <w:t>Conjunto A</w:t>
      </w:r>
      <w:r>
        <w:t xml:space="preserve"> (34 variables, con targeted_productivity) y el </w:t>
      </w:r>
      <w:r>
        <w:rPr>
          <w:b/>
        </w:rPr>
        <w:t>Conjunto B</w:t>
      </w:r>
      <w:r>
        <w:t xml:space="preserve"> (33 variables, sin ese predictor «atajo»). La importancia estimada por Random Forest (Figura 6) guía la selección: entre las variables más relevantes conviven operativas (incentive, smv) con </w:t>
      </w:r>
      <w:r>
        <w:rPr>
          <w:b/>
        </w:rPr>
        <w:t>dos variables temporales construidas en el proyecto</w:t>
      </w:r>
      <w:r>
        <w:t xml:space="preserve"> (prod_media_movil3 y prod_lag1), evidencia directa del aporte del historial reciente.</w:t>
      </w:r>
    </w:p>
    <w:p>
      <w:pPr>
        <w:spacing w:after="20"/>
      </w:pPr>
      <w:r>
        <w:rPr>
          <w:b/>
          <w:sz w:val="19"/>
        </w:rPr>
        <w:t>Figura 6</w:t>
      </w:r>
    </w:p>
    <w:p>
      <w:pPr>
        <w:spacing w:after="40"/>
      </w:pPr>
      <w:r>
        <w:rPr>
          <w:i/>
          <w:sz w:val="19"/>
        </w:rPr>
        <w:t>Importancia de variables según Random Forest (Conjunto 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5644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importanc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564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i/>
          <w:color w:val="555555"/>
          <w:sz w:val="17"/>
        </w:rPr>
        <w:t xml:space="preserve">Nota. </w:t>
      </w:r>
      <w:r>
        <w:rPr>
          <w:color w:val="555555"/>
          <w:sz w:val="17"/>
        </w:rPr>
        <w:t>Elaboración propia con base en los datos de Imran (2020), procesados con scikit-learn (Pedregosa et al., 2011).</w:t>
      </w:r>
    </w:p>
    <w:p>
      <w:pPr>
        <w:pStyle w:val="Heading1"/>
      </w:pPr>
      <w:r>
        <w:rPr>
          <w:color w:val="1A3D6D"/>
        </w:rPr>
        <w:t>6. Modelado y Evaluación</w:t>
      </w:r>
    </w:p>
    <w:p>
      <w:pPr>
        <w:pStyle w:val="Heading2"/>
      </w:pPr>
      <w:r>
        <w:rPr>
          <w:color w:val="2A5A9C"/>
        </w:rPr>
        <w:t>6.1 Segmentación de los datos</w:t>
      </w:r>
    </w:p>
    <w:p>
      <w:pPr>
        <w:spacing w:after="160" w:line="276" w:lineRule="auto"/>
        <w:jc w:val="both"/>
      </w:pPr>
      <w:r>
        <w:t xml:space="preserve">Como el conjunto incorpora variables de historial, </w:t>
      </w:r>
      <w:r>
        <w:rPr>
          <w:b/>
        </w:rPr>
        <w:t>no se usó una partición aleatoria</w:t>
      </w:r>
      <w:r>
        <w:t xml:space="preserve"> (provocaría fuga de información). Se empleó una </w:t>
      </w:r>
      <w:r>
        <w:rPr>
          <w:b/>
        </w:rPr>
        <w:t>partición temporal</w:t>
      </w:r>
      <w:r>
        <w:t>: entrenamiento con las jornadas más antiguas (anteriores al 2015-02-26, 931 registros) y evaluación con las más recientes (254 registros), reproduciendo el escenario real de predecir el futuro a partir del pasado.</w:t>
      </w:r>
    </w:p>
    <w:p>
      <w:pPr>
        <w:pStyle w:val="Heading2"/>
      </w:pPr>
      <w:r>
        <w:rPr>
          <w:color w:val="2A5A9C"/>
        </w:rPr>
        <w:t>6.2 Aplicación de diversos modelos</w:t>
      </w:r>
    </w:p>
    <w:p>
      <w:pPr>
        <w:spacing w:after="160" w:line="276" w:lineRule="auto"/>
        <w:jc w:val="both"/>
      </w:pPr>
      <w:r>
        <w:t xml:space="preserve">Sobre el Conjunto B se entrenaron y compararon cinco modelos: </w:t>
      </w:r>
      <w:r>
        <w:rPr>
          <w:b/>
        </w:rPr>
        <w:t>árbol de decisión, Random Forest (300 árboles), AdaBoost (200 estimadores), Naive Bayes gaussiano y SVM</w:t>
      </w:r>
      <w:r>
        <w:t xml:space="preserve"> (kernel RBF, con estandarización previa), evaluados con validación cruzada estratificada de cinco pliegues. Como extensión, se evaluaron </w:t>
      </w:r>
      <w:r>
        <w:rPr>
          <w:b/>
        </w:rPr>
        <w:t>modelos de gradient boosting</w:t>
      </w:r>
      <w:r>
        <w:t xml:space="preserve"> (HistGradientBoosting, XGBoost, LightGBM) y el </w:t>
      </w:r>
      <w:r>
        <w:rPr>
          <w:b/>
        </w:rPr>
        <w:t>manejo del desbalance</w:t>
      </w:r>
      <w:r>
        <w:t xml:space="preserve"> (ponderación de clases y sobremuestreo SMOTE), bajo un protocolo de validación más estricto (walk-forward).</w:t>
      </w:r>
    </w:p>
    <w:p>
      <w:pPr>
        <w:pStyle w:val="Heading2"/>
      </w:pPr>
      <w:r>
        <w:rPr>
          <w:color w:val="2A5A9C"/>
        </w:rPr>
        <w:t>6.3 Validación de los diversos modelos</w:t>
      </w:r>
    </w:p>
    <w:p>
      <w:pPr>
        <w:spacing w:after="160" w:line="276" w:lineRule="auto"/>
        <w:jc w:val="both"/>
      </w:pPr>
      <w:r>
        <w:t xml:space="preserve">La Tabla 3 y la Figura 7 resumen el accuracy sobre el conjunto de prueba. El mejor modelo fue el </w:t>
      </w:r>
      <w:r>
        <w:rPr>
          <w:b/>
        </w:rPr>
        <w:t>Random Forest, con 87.0%</w:t>
      </w:r>
      <w:r>
        <w:t>, seguido por la SVM (85.0%) y AdaBoost (81.1%); tres de los cinco superaron la meta del 80%. Todos superan la línea base trivial de 73.2%.</w:t>
      </w:r>
    </w:p>
    <w:p>
      <w:pPr>
        <w:spacing w:after="20"/>
      </w:pPr>
      <w:r>
        <w:rPr>
          <w:b/>
          <w:sz w:val="19"/>
        </w:rPr>
        <w:t>Tabla 3</w:t>
      </w:r>
    </w:p>
    <w:p>
      <w:pPr>
        <w:spacing w:after="60"/>
      </w:pPr>
      <w:r>
        <w:rPr>
          <w:i/>
          <w:sz w:val="19"/>
        </w:rPr>
        <w:t>Comparación de accuracy por modelo (Conjunto B).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4535"/>
            <w:shd w:val="clear" w:color="auto" w:fill="1A3D6D"/>
          </w:tcPr>
          <w:p>
            <w:r/>
            <w:r>
              <w:rPr>
                <w:b/>
                <w:color w:val="FFFFFF"/>
                <w:sz w:val="18"/>
              </w:rPr>
              <w:t>Modelo</w:t>
            </w:r>
          </w:p>
        </w:tc>
        <w:tc>
          <w:tcPr>
            <w:tcW w:type="dxa" w:w="2551"/>
            <w:shd w:val="clear" w:color="auto" w:fill="1A3D6D"/>
          </w:tcPr>
          <w:p>
            <w:r/>
            <w:r>
              <w:rPr>
                <w:b/>
                <w:color w:val="FFFFFF"/>
                <w:sz w:val="18"/>
              </w:rPr>
              <w:t>Accuracy (test)</w:t>
            </w:r>
          </w:p>
        </w:tc>
        <w:tc>
          <w:tcPr>
            <w:tcW w:type="dxa" w:w="2551"/>
            <w:shd w:val="clear" w:color="auto" w:fill="1A3D6D"/>
          </w:tcPr>
          <w:p>
            <w:r/>
            <w:r>
              <w:rPr>
                <w:b/>
                <w:color w:val="FFFFFF"/>
                <w:sz w:val="18"/>
              </w:rPr>
              <w:t>¿Supera 80%?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Random Forest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87.0%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Sí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SVM (RBF)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85.0%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Sí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AdaBoost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81.1%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Sí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Naive Bayes (Gaussiano)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78.0%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Árbol de Decisión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76.0%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No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i/>
          <w:color w:val="555555"/>
          <w:sz w:val="17"/>
        </w:rPr>
        <w:t xml:space="preserve">Nota. </w:t>
      </w:r>
      <w:r>
        <w:rPr>
          <w:color w:val="555555"/>
          <w:sz w:val="17"/>
        </w:rPr>
        <w:t>Elaboración propia con base en los datos de Imran (2020).</w:t>
      </w:r>
    </w:p>
    <w:p>
      <w:pPr>
        <w:spacing w:after="20"/>
      </w:pPr>
      <w:r>
        <w:rPr>
          <w:b/>
          <w:sz w:val="19"/>
        </w:rPr>
        <w:t>Figura 7</w:t>
      </w:r>
    </w:p>
    <w:p>
      <w:pPr>
        <w:spacing w:after="40"/>
      </w:pPr>
      <w:r>
        <w:rPr>
          <w:i/>
          <w:sz w:val="19"/>
        </w:rPr>
        <w:t>Comparación del accuracy por modelo frente a la meta del 80%.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556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omparac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55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i/>
          <w:color w:val="555555"/>
          <w:sz w:val="17"/>
        </w:rPr>
        <w:t xml:space="preserve">Nota. </w:t>
      </w:r>
      <w:r>
        <w:rPr>
          <w:color w:val="555555"/>
          <w:sz w:val="17"/>
        </w:rPr>
        <w:t>Elaboración propia con base en los datos de Imran (2020), procesados con scikit-learn (Pedregosa et al., 2011).</w:t>
      </w:r>
    </w:p>
    <w:p>
      <w:pPr>
        <w:spacing w:after="160" w:line="276" w:lineRule="auto"/>
        <w:jc w:val="both"/>
      </w:pPr>
      <w:r>
        <w:t>Las matrices de confusión (Figura 8) muestran el tipo de error. El Random Forest clasificó correctamente 173 de 186 casos «cumple» (recall 93.0%) y 48 de 68 «no cumple» (recall 70.6%), con el mejor equilibrio entre clases —relevante porque no detectar a un equipo en riesgo es el error más costoso.</w:t>
      </w:r>
    </w:p>
    <w:p>
      <w:pPr>
        <w:spacing w:after="20"/>
      </w:pPr>
      <w:r>
        <w:rPr>
          <w:b/>
          <w:sz w:val="19"/>
        </w:rPr>
        <w:t>Figura 8</w:t>
      </w:r>
    </w:p>
    <w:p>
      <w:pPr>
        <w:spacing w:after="40"/>
      </w:pPr>
      <w:r>
        <w:rPr>
          <w:i/>
          <w:sz w:val="19"/>
        </w:rPr>
        <w:t>Matrices de confusión por modelo (Conjunto 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6828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matric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82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i/>
          <w:color w:val="555555"/>
          <w:sz w:val="17"/>
        </w:rPr>
        <w:t xml:space="preserve">Nota. </w:t>
      </w:r>
      <w:r>
        <w:rPr>
          <w:color w:val="555555"/>
          <w:sz w:val="17"/>
        </w:rPr>
        <w:t>Elaboración propia con base en los datos de Imran (2020), procesados con scikit-learn (Pedregosa et al., 2011).</w:t>
      </w:r>
    </w:p>
    <w:p>
      <w:pPr>
        <w:spacing w:after="160" w:line="276" w:lineRule="auto"/>
        <w:jc w:val="both"/>
      </w:pPr>
      <w:r>
        <w:rPr>
          <w:b/>
        </w:rPr>
        <w:t>Efecto del predictor «atajo».</w:t>
      </w:r>
      <w:r>
        <w:t xml:space="preserve"> Con Random Forest, el Conjunto A alcanzó 85.8% y el Conjunto B 87.0%: el hecho de que B iguale e incluso supere a A demuestra que el modelo </w:t>
      </w:r>
      <w:r>
        <w:rPr>
          <w:b/>
        </w:rPr>
        <w:t>no depende del atajo</w:t>
      </w:r>
      <w:r>
        <w:t>, sustentándose en variables operativas y temporales genuinas.</w:t>
      </w:r>
    </w:p>
    <w:p>
      <w:pPr>
        <w:spacing w:after="160" w:line="276" w:lineRule="auto"/>
        <w:jc w:val="both"/>
      </w:pPr>
      <w:r>
        <w:rPr>
          <w:b/>
        </w:rPr>
        <w:t>Validación adicional.</w:t>
      </w:r>
      <w:r>
        <w:t xml:space="preserve"> Bajo una validación </w:t>
      </w:r>
      <w:r>
        <w:rPr>
          <w:b/>
        </w:rPr>
        <w:t>walk-forward</w:t>
      </w:r>
      <w:r>
        <w:t xml:space="preserve"> (más estricta) con variables enriquecidas y métricas robustas (Tabla 4, Figura 9), el Random Forest se sitúa en torno a 0.808 de accuracy —más realista que el corte único—, las features enriquecidas resultan la mejor palanca, el gradient boosting no supera al RF con este tamaño de datos, y el manejo del desbalance (SMOTE) eleva el F1 de «no cumple» a 0.619 a costa del accuracy, lo que confirma la importancia de elegir una métrica acorde al objetivo.</w:t>
      </w:r>
    </w:p>
    <w:p>
      <w:pPr>
        <w:spacing w:after="20"/>
      </w:pPr>
      <w:r>
        <w:rPr>
          <w:b/>
          <w:sz w:val="19"/>
        </w:rPr>
        <w:t>Tabla 4</w:t>
      </w:r>
    </w:p>
    <w:p>
      <w:pPr>
        <w:spacing w:after="60"/>
      </w:pPr>
      <w:r>
        <w:rPr>
          <w:i/>
          <w:sz w:val="19"/>
        </w:rPr>
        <w:t>Comparación de modelos bajo validación walk-forward y métricas robustas.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685"/>
            <w:shd w:val="clear" w:color="auto" w:fill="1A3D6D"/>
          </w:tcPr>
          <w:p>
            <w:r/>
            <w:r>
              <w:rPr>
                <w:b/>
                <w:color w:val="FFFFFF"/>
                <w:sz w:val="18"/>
              </w:rPr>
              <w:t>Modelo</w:t>
            </w:r>
          </w:p>
        </w:tc>
        <w:tc>
          <w:tcPr>
            <w:tcW w:type="dxa" w:w="1701"/>
            <w:shd w:val="clear" w:color="auto" w:fill="1A3D6D"/>
          </w:tcPr>
          <w:p>
            <w:r/>
            <w:r>
              <w:rPr>
                <w:b/>
                <w:color w:val="FFFFFF"/>
                <w:sz w:val="18"/>
              </w:rPr>
              <w:t>Accuracy</w:t>
            </w:r>
          </w:p>
        </w:tc>
        <w:tc>
          <w:tcPr>
            <w:tcW w:type="dxa" w:w="1701"/>
            <w:shd w:val="clear" w:color="auto" w:fill="1A3D6D"/>
          </w:tcPr>
          <w:p>
            <w:r/>
            <w:r>
              <w:rPr>
                <w:b/>
                <w:color w:val="FFFFFF"/>
                <w:sz w:val="18"/>
              </w:rPr>
              <w:t>F1 «no cumple»</w:t>
            </w:r>
          </w:p>
        </w:tc>
        <w:tc>
          <w:tcPr>
            <w:tcW w:type="dxa" w:w="1984"/>
            <w:shd w:val="clear" w:color="auto" w:fill="1A3D6D"/>
          </w:tcPr>
          <w:p>
            <w:r/>
            <w:r>
              <w:rPr>
                <w:b/>
                <w:color w:val="FFFFFF"/>
                <w:sz w:val="18"/>
              </w:rPr>
              <w:t>PR-AUC «no cumple»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RF (base, proyecto actual)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0.794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0.599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0.669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RF (features enriquecidas)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0.808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0.599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0.670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RF + balance de clases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0.796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0.521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0.676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HistGradientBoosting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0.780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0.583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0.625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XGBoost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0.782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0.586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0.612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LightGBM + balance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0.772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0.616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0.576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XGBoost + SMOTE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0.785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0.619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0.643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i/>
          <w:color w:val="555555"/>
          <w:sz w:val="17"/>
        </w:rPr>
        <w:t xml:space="preserve">Nota. </w:t>
      </w:r>
      <w:r>
        <w:rPr>
          <w:color w:val="555555"/>
          <w:sz w:val="17"/>
        </w:rPr>
        <w:t>Elaboración propia con base en los datos de Imran (2020).</w:t>
      </w:r>
    </w:p>
    <w:p>
      <w:pPr>
        <w:spacing w:after="20"/>
      </w:pPr>
      <w:r>
        <w:rPr>
          <w:b/>
          <w:sz w:val="19"/>
        </w:rPr>
        <w:t>Figura 9</w:t>
      </w:r>
    </w:p>
    <w:p>
      <w:pPr>
        <w:spacing w:after="40"/>
      </w:pPr>
      <w:r>
        <w:rPr>
          <w:i/>
          <w:sz w:val="19"/>
        </w:rPr>
        <w:t>Comparación de modelos en tres métricas bajo validación walk-forward.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9765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c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76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i/>
          <w:color w:val="555555"/>
          <w:sz w:val="17"/>
        </w:rPr>
        <w:t xml:space="preserve">Nota. </w:t>
      </w:r>
      <w:r>
        <w:rPr>
          <w:color w:val="555555"/>
          <w:sz w:val="17"/>
        </w:rPr>
        <w:t>Elaboración propia con base en los datos de Imran (2020), procesados con scikit-learn (Pedregosa et al., 2011).</w:t>
      </w:r>
    </w:p>
    <w:p>
      <w:pPr>
        <w:pStyle w:val="Heading1"/>
      </w:pPr>
      <w:r>
        <w:rPr>
          <w:color w:val="1A3D6D"/>
        </w:rPr>
        <w:t>7. Conclusiones</w:t>
      </w:r>
    </w:p>
    <w:p>
      <w:pPr>
        <w:pStyle w:val="Heading2"/>
      </w:pPr>
      <w:r>
        <w:rPr>
          <w:color w:val="2A5A9C"/>
        </w:rPr>
        <w:t>7.1 Resumen del trabajo efectuado</w:t>
      </w:r>
    </w:p>
    <w:p>
      <w:pPr>
        <w:spacing w:after="160" w:line="276" w:lineRule="auto"/>
        <w:jc w:val="both"/>
      </w:pPr>
      <w:r>
        <w:t>Se desarrolló un flujo completo de minería de datos conforme a CRISP-DM para predecir el cumplimiento de la productividad objetivo de equipos textiles, formulado como clasificación binaria. Se comprendió y preparó el conjunto de datos (nulos, transformación, construcción de variables temporales, agrupamiento y reducción dimensional), se definieron los conjuntos de entrada y se compararon cinco modelos bajo una partición temporal, con una validación adicional walk-forward.</w:t>
      </w:r>
    </w:p>
    <w:p>
      <w:pPr>
        <w:pStyle w:val="Heading2"/>
      </w:pPr>
      <w:r>
        <w:rPr>
          <w:color w:val="2A5A9C"/>
        </w:rPr>
        <w:t>7.2 Modelo seleccionado y motivos</w:t>
      </w:r>
    </w:p>
    <w:p>
      <w:pPr>
        <w:spacing w:after="160" w:line="276" w:lineRule="auto"/>
        <w:jc w:val="both"/>
      </w:pPr>
      <w:r>
        <w:t xml:space="preserve">Se selecciona el </w:t>
      </w:r>
      <w:r>
        <w:rPr>
          <w:b/>
        </w:rPr>
        <w:t>Random Forest</w:t>
      </w:r>
      <w:r>
        <w:t xml:space="preserve"> como modelo final. Los motivos: obtuvo el </w:t>
      </w:r>
      <w:r>
        <w:rPr>
          <w:b/>
        </w:rPr>
        <w:t>mayor accuracy (87.0%)</w:t>
      </w:r>
      <w:r>
        <w:t xml:space="preserve">, superando la meta del 80%; presentó el </w:t>
      </w:r>
      <w:r>
        <w:rPr>
          <w:b/>
        </w:rPr>
        <w:t>mejor equilibrio entre clases</w:t>
      </w:r>
      <w:r>
        <w:t xml:space="preserve"> en las matrices de confusión; se mostró el </w:t>
      </w:r>
      <w:r>
        <w:rPr>
          <w:b/>
        </w:rPr>
        <w:t>más estable</w:t>
      </w:r>
      <w:r>
        <w:t xml:space="preserve"> bajo la validación walk-forward; y es </w:t>
      </w:r>
      <w:r>
        <w:rPr>
          <w:b/>
        </w:rPr>
        <w:t>robusto a los valores atípicos</w:t>
      </w:r>
      <w:r>
        <w:t xml:space="preserve"> y a las variables redundantes. Además, confirmó la hipótesis sin depender del predictor «atajo», apoyándose en las variables temporales creadas en el proyecto.</w:t>
      </w:r>
    </w:p>
    <w:p>
      <w:pPr>
        <w:pStyle w:val="Heading2"/>
      </w:pPr>
      <w:r>
        <w:rPr>
          <w:color w:val="2A5A9C"/>
        </w:rPr>
        <w:t>7.3 Aplicación del modelo y extensión del trabajo</w:t>
      </w:r>
    </w:p>
    <w:p>
      <w:pPr>
        <w:spacing w:after="160" w:line="276" w:lineRule="auto"/>
        <w:jc w:val="both"/>
      </w:pPr>
      <w:r>
        <w:t xml:space="preserve">En un uso real, el modelo funcionaría como un </w:t>
      </w:r>
      <w:r>
        <w:rPr>
          <w:b/>
        </w:rPr>
        <w:t>sistema de alerta temprana</w:t>
      </w:r>
      <w:r>
        <w:t xml:space="preserve">: al inicio o durante la jornada estimaría el riesgo de incumplimiento de cada equipo, permitiendo a la supervisión priorizar su atención sobre los equipos vulnerables. Como </w:t>
      </w:r>
      <w:r>
        <w:rPr>
          <w:b/>
        </w:rPr>
        <w:t>extensión</w:t>
      </w:r>
      <w:r>
        <w:t>, se propone: optimizar una métrica robusta (F1 / PR-AUC) por el desbalance; adoptar validación walk-forward de forma sistemática; enriquecer aún más la ingeniería de variables temporales; y evaluar gradient boosting con búsqueda de hiperparámetros. El detalle de estas líneas se recoge en el documento complementario de trabajo futuro.</w:t>
      </w:r>
    </w:p>
    <w:p>
      <w:pPr>
        <w:pStyle w:val="Heading1"/>
      </w:pPr>
      <w:r>
        <w:rPr>
          <w:color w:val="1A3D6D"/>
        </w:rPr>
        <w:t>Referencias</w:t>
      </w:r>
    </w:p>
    <w:p>
      <w:pPr>
        <w:spacing w:after="120"/>
        <w:ind w:left="709" w:hanging="709"/>
      </w:pPr>
      <w:r>
        <w:t xml:space="preserve">Imran, A. A. (2020). </w:t>
      </w:r>
      <w:r>
        <w:rPr>
          <w:i/>
        </w:rPr>
        <w:t>Productivity prediction of garment employees</w:t>
      </w:r>
      <w:r>
        <w:t xml:space="preserve"> [Conjunto de datos]. UCI Machine Learning Repository. https://doi.org/10.24432/C51S6D</w:t>
      </w:r>
    </w:p>
    <w:p>
      <w:pPr>
        <w:spacing w:after="120"/>
        <w:ind w:left="709" w:hanging="709"/>
      </w:pPr>
      <w:r>
        <w:t xml:space="preserve">Imran, A. A., Amin, M. N., Islam Rifat, M. R., y Mehreen, S. (2019). Deep neural network approach for predicting the productivity of garment employees. En </w:t>
      </w:r>
      <w:r>
        <w:rPr>
          <w:i/>
        </w:rPr>
        <w:t>2019 6th International Conference on Control, Decision and Information Technologies (CoDIT)</w:t>
      </w:r>
      <w:r>
        <w:t xml:space="preserve"> (pp. 1402–1407). IEEE. https://doi.org/10.1109/CoDIT.2019.8820486</w:t>
      </w:r>
    </w:p>
    <w:p>
      <w:pPr>
        <w:spacing w:after="120"/>
        <w:ind w:left="709" w:hanging="709"/>
      </w:pPr>
      <w:r>
        <w:t xml:space="preserve">Pedregosa, F., Varoquaux, G., Gramfort, A., Michel, V., Thirion, B., Grisel, O., … Duchesnay, É. (2011). Scikit-learn: Machine learning in Python. </w:t>
      </w:r>
      <w:r>
        <w:rPr>
          <w:i/>
        </w:rPr>
        <w:t>Journal of Machine Learning Research, 12</w:t>
      </w:r>
      <w:r>
        <w:t>, 2825–2830.</w:t>
      </w:r>
    </w:p>
    <w:p>
      <w:pPr>
        <w:spacing w:after="120"/>
        <w:ind w:left="709" w:hanging="709"/>
      </w:pPr>
      <w:r>
        <w:t xml:space="preserve">Wirth, R., y Hipp, J. (2000). CRISP-DM: Towards a standard process model for data mining. En </w:t>
      </w:r>
      <w:r>
        <w:rPr>
          <w:i/>
        </w:rPr>
        <w:t>Proceedings of the 4th International Conference on the Practical Applications of Knowledge Discovery and Data Mining</w:t>
      </w:r>
      <w:r>
        <w:t xml:space="preserve"> (pp. 29–39).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