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A3D6D"/>
          <w:sz w:val="40"/>
        </w:rPr>
        <w:t>Trabajo futuro</w:t>
      </w:r>
    </w:p>
    <w:p>
      <w:pPr>
        <w:spacing w:after="280"/>
      </w:pPr>
      <w:r>
        <w:rPr>
          <w:i/>
          <w:color w:val="555555"/>
          <w:sz w:val="21"/>
        </w:rPr>
        <w:t>Documento complementario del informe «Predicción del cumplimiento de la productividad objetivo en equipos de una fábrica textil» — Minería de Datos (INFB8104)</w:t>
      </w:r>
    </w:p>
    <w:p>
      <w:pPr>
        <w:spacing w:after="160" w:line="276" w:lineRule="auto"/>
        <w:jc w:val="both"/>
      </w:pPr>
      <w:r>
        <w:rPr>
          <w:b w:val="0"/>
        </w:rPr>
        <w:t>Con miras a maximizar el desempeño predictivo del modelo, se proponen las siguientes líneas de trabajo, ordenadas por prioridad:</w:t>
      </w:r>
    </w:p>
    <w:p>
      <w:pPr>
        <w:spacing w:after="160" w:line="276" w:lineRule="auto"/>
        <w:jc w:val="both"/>
      </w:pPr>
      <w:r>
        <w:rPr>
          <w:b/>
        </w:rPr>
        <w:t>1. Redefinir la métrica de éxito.</w:t>
      </w:r>
      <w:r>
        <w:rPr>
          <w:b w:val="0"/>
        </w:rPr>
        <w:t xml:space="preserve"> Dado el desbalance de clases, evaluar con F1 o AUC-PR en lugar del accuracy, para no penalizar las mejoras en la detección de los equipos en riesgo —que son la clase minoritaria y la de mayor interés operativo.</w:t>
      </w:r>
    </w:p>
    <w:p>
      <w:pPr>
        <w:spacing w:after="160" w:line="276" w:lineRule="auto"/>
        <w:jc w:val="both"/>
      </w:pPr>
      <w:r>
        <w:rPr>
          <w:b/>
        </w:rPr>
        <w:t>2. Adoptar una validación walk-forward</w:t>
      </w:r>
      <w:r>
        <w:rPr>
          <w:b w:val="0"/>
        </w:rPr>
        <w:t xml:space="preserve"> (TimeSeriesSplit), entrenando y evaluando avanzando en el tiempo, de modo que las mejoras observadas sean reales y no producto del sobreajuste.</w:t>
      </w:r>
    </w:p>
    <w:p>
      <w:pPr>
        <w:spacing w:after="160" w:line="276" w:lineRule="auto"/>
        <w:jc w:val="both"/>
      </w:pPr>
      <w:r>
        <w:rPr>
          <w:b/>
        </w:rPr>
        <w:t>3. Enriquecer la ingeniería de variables temporales</w:t>
      </w:r>
      <w:r>
        <w:rPr>
          <w:b w:val="0"/>
        </w:rPr>
        <w:t xml:space="preserve"> con más retardos y ventanas, medias móviles de longitud variable y retardos de incentive y over_time, no solo de la productividad.</w:t>
      </w:r>
    </w:p>
    <w:p>
      <w:pPr>
        <w:spacing w:after="160" w:line="276" w:lineRule="auto"/>
        <w:jc w:val="both"/>
      </w:pPr>
      <w:r>
        <w:rPr>
          <w:b/>
        </w:rPr>
        <w:t>4. Evaluar modelos más potentes:</w:t>
      </w:r>
      <w:r>
        <w:rPr>
          <w:b w:val="0"/>
        </w:rPr>
        <w:t xml:space="preserve"> algoritmos de gradient boosting (XGBoost, LightGBM) y esquemas de stacking, junto con una búsqueda sistemática de hiperparámetros bajo la validación anterior.</w:t>
      </w:r>
    </w:p>
    <w:p>
      <w:pPr>
        <w:spacing w:after="160" w:line="276" w:lineRule="auto"/>
        <w:jc w:val="both"/>
      </w:pPr>
      <w:r>
        <w:rPr>
          <w:b/>
        </w:rPr>
        <w:t>5. Tratar el desbalance de clases</w:t>
      </w:r>
      <w:r>
        <w:rPr>
          <w:b w:val="0"/>
        </w:rPr>
        <w:t xml:space="preserve"> (sobremuestreo o ponderación) optimizando la métrica robusta seleccionada.</w:t>
      </w:r>
    </w:p>
    <w:p>
      <w:pPr>
        <w:spacing w:after="160" w:line="276" w:lineRule="auto"/>
        <w:jc w:val="both"/>
      </w:pPr>
      <w:r>
        <w:rPr>
          <w:b w:val="0"/>
        </w:rPr>
        <w:t>En todos los casos, estas mejoras deben perseguirse controlando el riesgo de sobreajuste, especialmente por el tamaño moderado del conjunto (~1.185 registros): conviene establecer primero una medición y una validación correctas y solo después optimizar los modelos, evitando así mejoras que resulten ilusorias sobre datos nuevos.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