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360"/>
        <w:jc w:val="center"/>
      </w:pPr>
      <w:r>
        <w:rPr>
          <w:rFonts w:ascii="Times New Roman" w:cs="Times New Roman" w:eastAsia="標楷體" w:hAnsi="Times New Roman"/>
          <w:color w:val="7A736A"/>
          <w:sz w:val="24"/>
          <w:szCs w:val="24"/>
        </w:rPr>
        <w:t xml:space="preserve">員工意向調查 HRM922　2026 Fall</w:t>
      </w:r>
    </w:p>
    <w:p>
      <w:pPr>
        <w:spacing w:after="600" w:before="0" w:line="360"/>
        <w:jc w:val="center"/>
      </w:pPr>
      <w:r>
        <w:rPr>
          <w:rFonts w:ascii="Times New Roman" w:cs="Times New Roman" w:eastAsia="標楷體" w:hAnsi="Times New Roman"/>
          <w:color w:val="7A736A"/>
          <w:sz w:val="24"/>
          <w:szCs w:val="24"/>
        </w:rPr>
        <w:t xml:space="preserve">國立中山大學人力資源管理研究所</w:t>
      </w:r>
    </w:p>
    <w:p>
      <w:pPr>
        <w:spacing w:after="120" w:before="0" w:line="360"/>
        <w:jc w:val="center"/>
      </w:pPr>
      <w:r>
        <w:rPr>
          <w:rFonts w:ascii="Times New Roman" w:cs="Times New Roman" w:eastAsia="標楷體" w:hAnsi="Times New Roman"/>
          <w:b/>
          <w:bCs/>
          <w:color w:val="7A2033"/>
          <w:sz w:val="32"/>
          <w:szCs w:val="32"/>
        </w:rPr>
        <w:t xml:space="preserve">期中團體作業</w:t>
      </w:r>
    </w:p>
    <w:p>
      <w:pPr>
        <w:spacing w:after="600" w:before="0" w:line="360"/>
        <w:jc w:val="center"/>
      </w:pPr>
      <w:r>
        <w:rPr>
          <w:rFonts w:ascii="Times New Roman" w:cs="Times New Roman" w:eastAsia="標楷體" w:hAnsi="Times New Roman"/>
          <w:b/>
          <w:bCs/>
          <w:color w:val="1C2F52"/>
          <w:sz w:val="44"/>
          <w:szCs w:val="44"/>
        </w:rPr>
        <w:t xml:space="preserve">新概念量表設計企劃書</w:t>
      </w:r>
    </w:p>
    <w:p>
      <w:pPr>
        <w:spacing w:after="120" w:before="0" w:line="360"/>
        <w:jc w:val="center"/>
      </w:pPr>
      <w:r>
        <w:rPr>
          <w:rFonts w:ascii="Times New Roman" w:cs="Times New Roman" w:eastAsia="標楷體" w:hAnsi="Times New Roman"/>
          <w:sz w:val="28"/>
          <w:szCs w:val="28"/>
        </w:rPr>
        <w:t xml:space="preserve">構念名稱（中性學術名稱）：____________________</w:t>
      </w:r>
    </w:p>
    <w:p>
      <w:pPr>
        <w:spacing w:after="400" w:before="0" w:line="360"/>
        <w:jc w:val="center"/>
      </w:pPr>
      <w:r>
        <w:rPr>
          <w:rFonts w:ascii="Times New Roman" w:cs="Times New Roman" w:eastAsia="標楷體" w:hAnsi="Times New Roman"/>
          <w:sz w:val="28"/>
          <w:szCs w:val="28"/>
        </w:rPr>
        <w:t xml:space="preserve">對應的網路流行語：____________________</w:t>
      </w:r>
    </w:p>
    <w:p>
      <w:pPr>
        <w:spacing w:after="300" w:before="0" w:line="360"/>
        <w:jc w:val="center"/>
      </w:pPr>
      <w:r>
        <w:rPr>
          <w:rFonts w:ascii="Times New Roman" w:cs="Times New Roman" w:eastAsia="標楷體" w:hAnsi="Times New Roman"/>
          <w:sz w:val="28"/>
          <w:szCs w:val="28"/>
        </w:rPr>
        <w:t xml:space="preserve">組別：第 ___ 組</w:t>
      </w:r>
    </w:p>
    <w:p>
      <w:pPr>
        <w:spacing w:after="80" w:before="120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組員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2256"/>
        <w:gridCol w:w="4514"/>
      </w:tblGrid>
      <w:tr>
        <w:trPr>
          <w:tblHeader/>
        </w:trP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姓名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學號</w:t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主要分工</w:t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1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關鍵日期（兩者的先後順序是評分項目）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7"/>
        <w:gridCol w:w="2082"/>
        <w:gridCol w:w="4167"/>
      </w:tblGrid>
      <w:tr>
        <w:trPr>
          <w:tblHeader/>
        </w:trPr>
        <w:tc>
          <w:tcPr>
            <w:tcW w:type="dxa" w:w="27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關鍵日期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日期</w:t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依據</w:t>
            </w:r>
          </w:p>
        </w:tc>
      </w:tr>
      <w:tr>
        <w:tc>
          <w:tcPr>
            <w:tcW w:type="dxa" w:w="27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相近構念定義查閱日期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規則一：事例分類完成後、寫題目之前</w:t>
            </w:r>
          </w:p>
        </w:tc>
      </w:tr>
      <w:tr>
        <w:tc>
          <w:tcPr>
            <w:tcW w:type="dxa" w:w="27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題庫初稿定稿日期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規則一：定稿後才能查閱既有量表題目</w:t>
            </w:r>
          </w:p>
        </w:tc>
      </w:tr>
      <w:tr>
        <w:tc>
          <w:tcPr>
            <w:tcW w:type="dxa" w:w="27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既有量表題目查閱日期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必須晚於題庫初稿定稿日期</w:t>
            </w:r>
          </w:p>
        </w:tc>
      </w:tr>
      <w:tr>
        <w:tc>
          <w:tcPr>
            <w:tcW w:type="dxa" w:w="27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企劃書與簡報繳交日期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2026/10/29 23:59 前，企劃書與簡報各一份 PDF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b/>
          <w:bCs/>
          <w:color w:val="7A2033"/>
          <w:sz w:val="30"/>
          <w:szCs w:val="30"/>
        </w:rPr>
        <w:t xml:space="preserve">填寫說明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本範本的灰色說明文字與請填寫字樣，完成後全部刪除；表格的例列可改寫或刪除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正文以 20 頁為上限，附錄不計；A4 直式，中文標楷體、英文 Times New Roman 12 pt，引用與參考文獻採 APA 第七版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企劃書與發表簡報各存一份 PDF，檔名為 組別_構念名稱_期中企劃書.pdf 與 組別_構念名稱_期中簡報.pdf，10/29 23:59 前由組長上傳 Google Classroom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目錄：在 Word 中對目錄按右鍵選更新功能變數，即可產生頁碼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事例分類與 κ 計算使用課程提供的 Excel 範本，該檔案放入附錄 A 一併繳交</w:t>
      </w:r>
    </w:p>
    <w:p>
      <w:r>
        <w:br w:type="page"/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b/>
          <w:bCs/>
          <w:color w:val="1C2F52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一、網路流行語界定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1.1 流行語的來源與日常用法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說明這個詞何時、在哪裡開始流傳，一般上班族用它指什麼樣的職場現象；只用大眾媒體與社群論述，不引用學術量表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1.2 商業媒體報導與社群討論清單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從各大中英文商業媒體網站盡可能廣泛蒐集，不限篇數（中文例如商周、天下、Cheers、經理人；英文例如 Forbes、Fast Company、CNBC、Harvard Business Review）；社群討論（例如 Dcard、PTT）可作為補充；表格列數不夠時自行增加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"/>
        <w:gridCol w:w="1421"/>
        <w:gridCol w:w="2132"/>
        <w:gridCol w:w="1776"/>
        <w:gridCol w:w="2845"/>
      </w:tblGrid>
      <w:tr>
        <w:trPr>
          <w:tblHeader/>
        </w:trP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編號</w:t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來源與日期</w:t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標題</w:t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網址</w:t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這篇怎麼描述這個現象</w:t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color w:val="7A736A"/>
                <w:sz w:val="22"/>
                <w:szCs w:val="22"/>
              </w:rPr>
              <w:t xml:space="preserve">例 01</w:t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商周 2026/05</w:t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（標題）</w:t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https://</w:t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（一句話摘要）</w:t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3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7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1.3 一句話定義與排除條件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替構念取一個中性、可操作的學術名稱，名稱只描述現象，不帶評價；定義寫出屬性、對象與範圍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項目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中性學術名稱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一句話定義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包含（什麼算）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排除條件（什麼不算）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二、關鍵事例收集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2.1 收集方式與指導語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說明使用線上問卷開放題、半結構訪談或兩者並用；附上問卷指導語全文（目的、匿名、資料用途與刪除時間、預估時間、可隨時停止）；指導語不出現流行語本身，避免引導填答者評價他人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2.2 開放題題目或訪談大綱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情境、行為、結果分三題問；限定回想期間（例如最近三個月內）；每位填答者可提供一到三則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2"/>
        <w:gridCol w:w="4513"/>
        <w:gridCol w:w="3761"/>
      </w:tblGrid>
      <w:tr>
        <w:trPr>
          <w:tblHeader/>
        </w:trPr>
        <w:tc>
          <w:tcPr>
            <w:tcW w:type="dxa" w:w="7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題號</w:t>
            </w:r>
          </w:p>
        </w:tc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題目</w:t>
            </w:r>
          </w:p>
        </w:tc>
        <w:tc>
          <w:tcPr>
            <w:tcW w:type="dxa" w:w="376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設計理由</w:t>
            </w:r>
          </w:p>
        </w:tc>
      </w:tr>
      <w:tr>
        <w:tc>
          <w:tcPr>
            <w:tcW w:type="dxa" w:w="7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當時發生什麼事</w:t>
            </w:r>
          </w:p>
        </w:tc>
        <w:tc>
          <w:tcPr>
            <w:tcW w:type="dxa" w:w="376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當事人說了什麼、做了什麼</w:t>
            </w:r>
          </w:p>
        </w:tc>
        <w:tc>
          <w:tcPr>
            <w:tcW w:type="dxa" w:w="376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後來怎麼了</w:t>
            </w:r>
          </w:p>
        </w:tc>
        <w:tc>
          <w:tcPr>
            <w:tcW w:type="dxa" w:w="376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2.3 填答者背景摘要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有效填答者二十位以上，涵蓋不同職級，避免集中在同一部門或全部是同學；不記姓名與公司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背景類別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人數</w:t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百分比</w:t>
            </w:r>
          </w:p>
        </w:tc>
      </w:tr>
      <w:t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職級：基層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職級：主管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產業：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產業：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合計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2.4 事例清單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事例四十則以上；完整清單放附錄 A 的 Excel 範本，本節摘要事例總數、剔除數量與剔除理由，並列出幾則典型事例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1"/>
        <w:gridCol w:w="1388"/>
        <w:gridCol w:w="4167"/>
      </w:tblGrid>
      <w:tr>
        <w:trPr>
          <w:tblHeader/>
        </w:trPr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項目</w:t>
            </w:r>
          </w:p>
        </w:tc>
        <w:tc>
          <w:tcPr>
            <w:tcW w:type="dxa" w:w="138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則數</w:t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收回事例總數</w:t>
            </w:r>
          </w:p>
        </w:tc>
        <w:tc>
          <w:tcPr>
            <w:tcW w:type="dxa" w:w="138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剔除：太籠統</w:t>
            </w:r>
          </w:p>
        </w:tc>
        <w:tc>
          <w:tcPr>
            <w:tcW w:type="dxa" w:w="138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剔除：不屬於本構念</w:t>
            </w:r>
          </w:p>
        </w:tc>
        <w:tc>
          <w:tcPr>
            <w:tcW w:type="dxa" w:w="138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保留進入分類</w:t>
            </w:r>
          </w:p>
        </w:tc>
        <w:tc>
          <w:tcPr>
            <w:tcW w:type="dxa" w:w="138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三、分類與同意度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3.1 編碼簿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向度命名來自事例本身，不來自現成理論；事例太少的類別考慮與其他類別合併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1"/>
        <w:gridCol w:w="2256"/>
        <w:gridCol w:w="1934"/>
        <w:gridCol w:w="1934"/>
        <w:gridCol w:w="1291"/>
      </w:tblGrid>
      <w:tr>
        <w:trPr>
          <w:tblHeader/>
        </w:trPr>
        <w:tc>
          <w:tcPr>
            <w:tcW w:type="dxa" w:w="161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向度名稱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定義</w:t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納入條件</w:t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排除條件</w:t>
            </w:r>
          </w:p>
        </w:tc>
        <w:tc>
          <w:tcPr>
            <w:tcW w:type="dxa" w:w="129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典型事例編號</w:t>
            </w:r>
          </w:p>
        </w:tc>
      </w:tr>
      <w:tr>
        <w:tc>
          <w:tcPr>
            <w:tcW w:type="dxa" w:w="161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9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1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9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1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9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1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3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9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3.2 分類程序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說明兩位編碼者是誰、各自獨立分類的方式與時間；分類時不討論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3.3 交叉表與 Cohen’s κ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貼上 Excel 範本交叉表與κ工作表的結果；本課程以 κ ≥ .61 為通過標準。未通過時修訂編碼簿後重新獨立分類，兩次結果都要列出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5"/>
        <w:gridCol w:w="1266"/>
        <w:gridCol w:w="1425"/>
        <w:gridCol w:w="1425"/>
        <w:gridCol w:w="950"/>
        <w:gridCol w:w="1585"/>
      </w:tblGrid>
      <w:tr>
        <w:trPr>
          <w:tblHeader/>
        </w:trPr>
        <w:tc>
          <w:tcPr>
            <w:tcW w:type="dxa" w:w="237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/>
            </w:r>
          </w:p>
        </w:tc>
        <w:tc>
          <w:tcPr>
            <w:tcW w:type="dxa" w:w="126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事例數 N</w:t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觀察同意率</w:t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碰巧一致率</w:t>
            </w:r>
          </w:p>
        </w:tc>
        <w:tc>
          <w:tcPr>
            <w:tcW w:type="dxa" w:w="95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κ</w:t>
            </w:r>
          </w:p>
        </w:tc>
        <w:tc>
          <w:tcPr>
            <w:tcW w:type="dxa" w:w="158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判定</w:t>
            </w:r>
          </w:p>
        </w:tc>
      </w:tr>
      <w:tr>
        <w:tc>
          <w:tcPr>
            <w:tcW w:type="dxa" w:w="237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第一次分類</w:t>
            </w:r>
          </w:p>
        </w:tc>
        <w:tc>
          <w:tcPr>
            <w:tcW w:type="dxa" w:w="126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7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第二次分類（如有）</w:t>
            </w:r>
          </w:p>
        </w:tc>
        <w:tc>
          <w:tcPr>
            <w:tcW w:type="dxa" w:w="126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3.4 不一致事例的處理紀錄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7"/>
        <w:gridCol w:w="1569"/>
        <w:gridCol w:w="1569"/>
        <w:gridCol w:w="1569"/>
        <w:gridCol w:w="3142"/>
      </w:tblGrid>
      <w:tr>
        <w:trPr>
          <w:tblHeader/>
        </w:trPr>
        <w:tc>
          <w:tcPr>
            <w:tcW w:type="dxa" w:w="11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事例編號</w:t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甲的分類</w:t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乙的分類</w:t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討論後決定</w:t>
            </w:r>
          </w:p>
        </w:tc>
        <w:tc>
          <w:tcPr>
            <w:tcW w:type="dxa" w:w="314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1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4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4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4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7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4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3.5 相近構念的定義區辨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規則一：事例分類完成、撰寫題目之前，查最接近的二到三個學術構念的定義（只看定義，不看量表題目），寫出本構念與它們的差別，並記下查閱日期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2"/>
        <w:gridCol w:w="3471"/>
        <w:gridCol w:w="3473"/>
      </w:tblGrid>
      <w:tr>
        <w:trPr>
          <w:tblHeader/>
        </w:trP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相近構念（中英文）</w:t>
            </w:r>
          </w:p>
        </w:tc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定義與出處（APA）</w:t>
            </w:r>
          </w:p>
        </w:tc>
        <w:tc>
          <w:tcPr>
            <w:tcW w:type="dxa" w:w="347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與本構念的差別</w:t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1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7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查閱日期：____ 年 ____ 月 ____ 日</w:t>
      </w: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四、題項與預試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4.1 題庫初稿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題目來自事例；每個向度最終約四到六題，初稿約為最終題數的兩倍；避免雙重問題、評價字眼、否定詞與模糊情境；反向題在備註欄標示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題庫初稿定稿日期：____ 年 ____ 月 ____ 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833"/>
        <w:gridCol w:w="4165"/>
        <w:gridCol w:w="1249"/>
        <w:gridCol w:w="1044"/>
      </w:tblGrid>
      <w:tr>
        <w:trPr>
          <w:tblHeader/>
        </w:trP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向度</w:t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題號</w:t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題目</w:t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對應事例</w:t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color w:val="7A736A"/>
                <w:sz w:val="22"/>
                <w:szCs w:val="22"/>
              </w:rPr>
              <w:t xml:space="preserve">例：（向度名稱）</w:t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（由事例改寫的題目，一題只問一件事）</w:t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（事例編號）</w:t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3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33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4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4.2 量尺與指導語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說明量尺點數與標示（例如 6 點，1 非常不同意至 6 非常同意，不設中點）、評量者（自評或主管評）、參照期間與指導語全文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4.3 預試樣本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預試樣本以在職者為主，人數至少為題數的五倍且不低於一百人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項目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預試前的題目修改（如有）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預試發放方式與期間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回收數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樣本特徵摘要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4.4 草率作答篩檢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說明使用的篩檢指標與標準（Topic 04），列出各指標剔除人數與最後有效樣本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60"/>
        <w:gridCol w:w="3760"/>
        <w:gridCol w:w="1506"/>
      </w:tblGrid>
      <w:tr>
        <w:trPr>
          <w:tblHeader/>
        </w:trP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篩檢指標</w:t>
            </w:r>
          </w:p>
        </w:tc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標準</w:t>
            </w:r>
          </w:p>
        </w:tc>
        <w:tc>
          <w:tcPr>
            <w:tcW w:type="dxa" w:w="15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剔除人數</w:t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有效樣本</w:t>
            </w:r>
          </w:p>
        </w:tc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五、心理計量檢驗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5.1 項目分析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4"/>
        <w:gridCol w:w="1529"/>
        <w:gridCol w:w="1529"/>
        <w:gridCol w:w="1529"/>
        <w:gridCol w:w="3445"/>
      </w:tblGrid>
      <w:tr>
        <w:trPr>
          <w:tblHeader/>
        </w:trP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題號</w:t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決斷值（CR）</w:t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校正題總相關</w:t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刪除後 α</w:t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決定與理由</w:t>
            </w:r>
          </w:p>
        </w:tc>
      </w:tr>
      <w:t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9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29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5.2 探索性因素分析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報告 KMO、Bartlett 球形檢定、抽取方法、轉軸方法、因素數的決定依據與負荷量門檻；因素結構與事例歸納的向度不一致時，說明原因，不強行對應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項目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KMO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Bartlett 球形檢定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抽取方法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轉軸方法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因素數的決定依據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負荷量門檻</w:t>
            </w:r>
          </w:p>
        </w:tc>
        <w:tc>
          <w:tcPr>
            <w:tcW w:type="dxa" w:w="601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因素負荷量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題號</w:t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因素一</w:t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因素二</w:t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因素三</w:t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共同性</w:t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5.3 信度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1504"/>
        <w:gridCol w:w="2256"/>
        <w:gridCol w:w="2258"/>
      </w:tblGrid>
      <w:tr>
        <w:trPr>
          <w:tblHeader/>
        </w:trP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向度</w:t>
            </w:r>
          </w:p>
        </w:tc>
        <w:tc>
          <w:tcPr>
            <w:tcW w:type="dxa" w:w="150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題數</w:t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Cronbach’s α</w:t>
            </w:r>
          </w:p>
        </w:tc>
        <w:tc>
          <w:tcPr>
            <w:tcW w:type="dxa" w:w="225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McDonald’s ω</w:t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4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5.4 最終量表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列出最終保留的題目、向度與計分方式（含反向計分題）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六、與既有構念的對照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6.1 概念層：寫題目之前的定義區辨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摘要第三章 3.5 的結果，說明當時的區辨如何影響定義與題目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6.2 實證層：與既有量表的向度對應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題庫初稿定稿之後，才查閱最接近的二到三份學術量表；記下查閱日期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sz w:val="24"/>
          <w:szCs w:val="24"/>
        </w:rPr>
        <w:t xml:space="preserve">既有量表題目查閱日期：____ 年 ____ 月 ____ 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既有量表</w:t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作者與年份（APA）</w:t>
            </w:r>
          </w:p>
        </w:tc>
        <w:tc>
          <w:tcPr>
            <w:tcW w:type="dxa" w:w="301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向度</w:t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1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Times New Roman" w:cs="Times New Roman" w:eastAsia="標楷體" w:hAnsi="Times New Roman"/>
          <w:b/>
          <w:bCs/>
          <w:sz w:val="22"/>
          <w:szCs w:val="22"/>
        </w:rPr>
        <w:t xml:space="preserve">向度對應表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2"/>
        <w:gridCol w:w="2082"/>
        <w:gridCol w:w="2082"/>
        <w:gridCol w:w="2780"/>
      </w:tblGrid>
      <w:tr>
        <w:trPr>
          <w:tblHeader/>
        </w:trP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本量表向度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既有量表 A 的對應向度</w:t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既有量表 B 的對應向度</w:t>
            </w:r>
          </w:p>
        </w:tc>
        <w:tc>
          <w:tcPr>
            <w:tcW w:type="dxa" w:w="278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對應程度與說明</w:t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8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8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8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8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78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6.3 結果判定與證據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判斷屬於下列哪一種結果並說明證據；誠實指出名稱不同但內容相同的報告可以拿高分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60"/>
        <w:gridCol w:w="1128"/>
        <w:gridCol w:w="4138"/>
      </w:tblGrid>
      <w:tr>
        <w:trPr>
          <w:tblHeader/>
        </w:trP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結果類型</w:t>
            </w:r>
          </w:p>
        </w:tc>
        <w:tc>
          <w:tcPr>
            <w:tcW w:type="dxa" w:w="112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判定（勾選）</w:t>
            </w:r>
          </w:p>
        </w:tc>
        <w:tc>
          <w:tcPr>
            <w:tcW w:type="dxa" w:w="413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證據</w:t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名稱相同，內容不同（避免同名異義謬誤，jingle fallacy）</w:t>
            </w:r>
          </w:p>
        </w:tc>
        <w:tc>
          <w:tcPr>
            <w:tcW w:type="dxa" w:w="112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413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名稱不同，內容相同（避免異名同義謬誤，jangle fallacy）</w:t>
            </w:r>
          </w:p>
        </w:tc>
        <w:tc>
          <w:tcPr>
            <w:tcW w:type="dxa" w:w="112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413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有既有量表沒有的新向度</w:t>
            </w:r>
          </w:p>
        </w:tc>
        <w:tc>
          <w:tcPr>
            <w:tcW w:type="dxa" w:w="112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  <w:tc>
          <w:tcPr>
            <w:tcW w:type="dxa" w:w="413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七、管理應用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這份量表在企業裡可以用來診斷什麼、給誰看、看完之後能做什麼；也說明使用上的限制，例如自評與主管評的差異、可能的刻板印象風險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問題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回答</w:t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可以診斷什麼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給誰看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看完之後能做什麼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使用上的限制</w:t>
            </w:r>
          </w:p>
        </w:tc>
        <w:tc>
          <w:tcPr>
            <w:tcW w:type="dxa" w:w="6770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參考文獻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APA 第七版，依作者姓氏排序；期刊文章附 DOI；大眾媒體文章附網址與日期</w:t>
      </w:r>
    </w:p>
    <w:p>
      <w:pPr>
        <w:spacing w:after="120" w:before="0" w:line="360"/>
      </w:pPr>
      <w:r>
        <w:rPr>
          <w:rFonts w:ascii="Times New Roman" w:cs="Times New Roman" w:eastAsia="標楷體" w:hAnsi="Times New Roman"/>
          <w:color w:val="B5AC9E"/>
          <w:sz w:val="24"/>
          <w:szCs w:val="24"/>
        </w:rPr>
        <w:t xml:space="preserve">請填寫</w:t>
      </w:r>
    </w:p>
    <w:p>
      <w:pPr>
        <w:pStyle w:val="Heading1"/>
        <w:pageBreakBefore/>
        <w:spacing w:after="200" w:before="240"/>
      </w:pPr>
      <w:r>
        <w:rPr>
          <w:rFonts w:ascii="Times New Roman" w:cs="Times New Roman" w:eastAsia="標楷體" w:hAnsi="Times New Roman"/>
          <w:b/>
          <w:bCs/>
          <w:color w:val="1C2F52"/>
          <w:sz w:val="32"/>
          <w:szCs w:val="32"/>
        </w:rPr>
        <w:t xml:space="preserve">附錄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附錄 A　事例清單與分類紀錄（Excel 範本）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繳交填寫完成的 Excel 範本，不記姓名與公司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附錄 B　預試原始資料與分析紀錄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去識別化的原始資料檔，以及 JASP、Excel 或程式的操作紀錄</w:t>
      </w: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附錄 C　組員分工表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5265"/>
        <w:gridCol w:w="1505"/>
      </w:tblGrid>
      <w:tr>
        <w:trPr>
          <w:tblHeader/>
        </w:trP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姓名</w:t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負責工作</w:t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貢獻比例</w:t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6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5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標楷體" w:hAnsi="Times New Roman"/>
          <w:b/>
          <w:bCs/>
          <w:color w:val="1C2F52"/>
          <w:sz w:val="26"/>
          <w:szCs w:val="26"/>
        </w:rPr>
        <w:t xml:space="preserve">附錄 D　AI 工具使用說明</w:t>
      </w:r>
    </w:p>
    <w:p>
      <w:pPr>
        <w:pBdr>
          <w:left w:val="single" w:color="C98F98" w:sz="12" w:space="8"/>
        </w:pBdr>
        <w:spacing w:after="160" w:line="320"/>
        <w:ind w:left="160"/>
      </w:pPr>
      <w:r>
        <w:rPr>
          <w:rFonts w:ascii="Times New Roman" w:cs="Times New Roman" w:eastAsia="標楷體" w:hAnsi="Times New Roman"/>
          <w:b/>
          <w:bCs/>
          <w:color w:val="7A2033"/>
          <w:sz w:val="22"/>
          <w:szCs w:val="22"/>
        </w:rPr>
        <w:t xml:space="preserve">說明　</w:t>
      </w:r>
      <w:r>
        <w:rPr>
          <w:rFonts w:ascii="Times New Roman" w:cs="Times New Roman" w:eastAsia="標楷體" w:hAnsi="Times New Roman"/>
          <w:color w:val="7A736A"/>
          <w:sz w:val="22"/>
          <w:szCs w:val="22"/>
        </w:rPr>
        <w:t xml:space="preserve">AI 工具可用於逐字稿整理、資料清理與分析程式撰寫；事例分類與向度命名必須由組員親自完成；用 AI 生成事例或代填預試問卷視同資料造假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3008"/>
        <w:gridCol w:w="3762"/>
      </w:tblGrid>
      <w:tr>
        <w:trPr>
          <w:tblHeader/>
        </w:trP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工具</w:t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用途</w:t>
            </w:r>
          </w:p>
        </w:tc>
        <w:tc>
          <w:tcPr>
            <w:tcW w:type="dxa" w:w="376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/>
                <w:bCs/>
                <w:color w:val="1C2F52"/>
                <w:sz w:val="22"/>
                <w:szCs w:val="22"/>
              </w:rPr>
              <w:t xml:space="preserve">使用範圍與人工查核方式</w:t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62"/>
            <w:tcBorders>
              <w:top w:val="single" w:color="BFB6A6" w:sz="4"/>
              <w:left w:val="single" w:color="BFB6A6" w:sz="4"/>
              <w:bottom w:val="single" w:color="BFB6A6" w:sz="4"/>
              <w:right w:val="single" w:color="BFB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color w:val="7A736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標楷體" w:hAnsi="Times New Roman"/>
      <w:b/>
      <w:bCs/>
      <w:color w:val="1C2F52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標楷體" w:hAnsi="Times New Roman"/>
      <w:b/>
      <w:bCs/>
      <w:color w:val="1C2F5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期中團體作業　新概念量表設計企劃書　範本</dc:title>
  <dc:creator>王豫萱</dc:creator>
  <cp:lastModifiedBy>Un-named</cp:lastModifiedBy>
  <cp:revision>1</cp:revision>
  <dcterms:created xsi:type="dcterms:W3CDTF">2026-10-02T07:17:13.881Z</dcterms:created>
  <dcterms:modified xsi:type="dcterms:W3CDTF">2026-10-02T07:17:13.882Z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