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00"/>
      </w:pPr>
    </w:p>
    <w:p>
      <w:pPr>
        <w:pStyle w:val="Title"/>
        <w:jc w:val="center"/>
      </w:pPr>
      <w:r>
        <w:rPr>
          <w:rFonts w:ascii="Arial" w:hAnsi="Arial" w:eastAsia="微软雅黑"/>
          <w:b/>
          <w:color w:val="000000"/>
          <w:sz w:val="50"/>
        </w:rPr>
        <w:t>基于多租户医疗云的在线预约与诊疗服务平台</w:t>
      </w:r>
    </w:p>
    <w:p>
      <w:pPr>
        <w:spacing w:after="1300"/>
        <w:jc w:val="center"/>
      </w:pPr>
      <w:r>
        <w:rPr>
          <w:rFonts w:ascii="Arial" w:hAnsi="Arial" w:eastAsia="微软雅黑"/>
          <w:b/>
          <w:color w:val="2F5597"/>
          <w:sz w:val="40"/>
        </w:rPr>
        <w:t>需求分析说明书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64"/>
        <w:gridCol w:w="4564"/>
      </w:tblGrid>
      <w:tr>
        <w:tc>
          <w:tcPr>
            <w:tcW w:type="dxa" w:w="456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tcMar>
              <w:top w:w="150" w:type="dxa"/>
              <w:start w:w="110" w:type="dxa"/>
              <w:bottom w:w="150" w:type="dxa"/>
              <w:end w:w="110" w:type="dxa"/>
            </w:tcMar>
            <w:shd w:fill="D9EAF7"/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000000"/>
                <w:sz w:val="22"/>
              </w:rPr>
              <w:t>课程名称</w:t>
            </w:r>
          </w:p>
        </w:tc>
        <w:tc>
          <w:tcPr>
            <w:tcW w:type="dxa" w:w="456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tcMar>
              <w:top w:w="150" w:type="dxa"/>
              <w:start w:w="110" w:type="dxa"/>
              <w:bottom w:w="15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 w:eastAsia="等线"/>
                <w:b w:val="0"/>
                <w:color w:val="000000"/>
                <w:sz w:val="22"/>
              </w:rPr>
              <w:t>云服务工程</w:t>
            </w:r>
          </w:p>
        </w:tc>
      </w:tr>
      <w:tr>
        <w:tc>
          <w:tcPr>
            <w:tcW w:type="dxa" w:w="456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tcMar>
              <w:top w:w="150" w:type="dxa"/>
              <w:start w:w="110" w:type="dxa"/>
              <w:bottom w:w="150" w:type="dxa"/>
              <w:end w:w="110" w:type="dxa"/>
            </w:tcMar>
            <w:shd w:fill="D9EAF7"/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000000"/>
                <w:sz w:val="22"/>
              </w:rPr>
              <w:t>文档性质</w:t>
            </w:r>
          </w:p>
        </w:tc>
        <w:tc>
          <w:tcPr>
            <w:tcW w:type="dxa" w:w="456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tcMar>
              <w:top w:w="150" w:type="dxa"/>
              <w:start w:w="110" w:type="dxa"/>
              <w:bottom w:w="15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 w:eastAsia="等线"/>
                <w:b w:val="0"/>
                <w:color w:val="000000"/>
                <w:sz w:val="22"/>
              </w:rPr>
              <w:t>课程项目需求分析说明书</w:t>
            </w:r>
          </w:p>
        </w:tc>
      </w:tr>
      <w:tr>
        <w:tc>
          <w:tcPr>
            <w:tcW w:type="dxa" w:w="456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tcMar>
              <w:top w:w="150" w:type="dxa"/>
              <w:start w:w="110" w:type="dxa"/>
              <w:bottom w:w="150" w:type="dxa"/>
              <w:end w:w="110" w:type="dxa"/>
            </w:tcMar>
            <w:shd w:fill="D9EAF7"/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000000"/>
                <w:sz w:val="22"/>
              </w:rPr>
              <w:t>项目版本</w:t>
            </w:r>
          </w:p>
        </w:tc>
        <w:tc>
          <w:tcPr>
            <w:tcW w:type="dxa" w:w="456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tcMar>
              <w:top w:w="150" w:type="dxa"/>
              <w:start w:w="110" w:type="dxa"/>
              <w:bottom w:w="15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 w:eastAsia="等线"/>
                <w:b w:val="0"/>
                <w:color w:val="000000"/>
                <w:sz w:val="22"/>
              </w:rPr>
              <w:t>V1.0</w:t>
            </w:r>
          </w:p>
        </w:tc>
      </w:tr>
      <w:tr>
        <w:tc>
          <w:tcPr>
            <w:tcW w:type="dxa" w:w="456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tcMar>
              <w:top w:w="150" w:type="dxa"/>
              <w:start w:w="110" w:type="dxa"/>
              <w:bottom w:w="150" w:type="dxa"/>
              <w:end w:w="110" w:type="dxa"/>
            </w:tcMar>
            <w:shd w:fill="D9EAF7"/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000000"/>
                <w:sz w:val="22"/>
              </w:rPr>
              <w:t>编制日期</w:t>
            </w:r>
          </w:p>
        </w:tc>
        <w:tc>
          <w:tcPr>
            <w:tcW w:type="dxa" w:w="456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tcMar>
              <w:top w:w="150" w:type="dxa"/>
              <w:start w:w="110" w:type="dxa"/>
              <w:bottom w:w="15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 w:eastAsia="等线"/>
                <w:b w:val="0"/>
                <w:color w:val="000000"/>
                <w:sz w:val="22"/>
              </w:rPr>
              <w:t>2026年9月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文档说明</w:t>
      </w:r>
    </w:p>
    <w:p>
      <w:pPr>
        <w:pStyle w:val="BodyText"/>
      </w:pPr>
      <w:r>
        <w:rPr>
          <w:rFonts w:ascii="Arial" w:hAnsi="Arial" w:eastAsia="等线"/>
          <w:color w:val="000000"/>
          <w:sz w:val="21"/>
        </w:rPr>
        <w:t>本文档定义多租户医疗云在线预约与诊疗服务平台的建设范围、业务规则、功能需求、数据要求、云服务架构、非功能指标和验收标准。项目面向云服务工程课程设计，核心交付是能够稳定演示的预约、接诊、病历和模拟缴费闭环。多租户隔离、对象存储和云端部署用于体现课程要求的共享、多组织、可管理和可扩展特征。</w:t>
      </w:r>
    </w:p>
    <w:p>
      <w:pPr>
        <w:pStyle w:val="BodyText"/>
      </w:pPr>
      <w:r>
        <w:rPr>
          <w:rFonts w:ascii="Arial" w:hAnsi="Arial" w:eastAsia="等线"/>
          <w:color w:val="000000"/>
          <w:sz w:val="21"/>
        </w:rPr>
        <w:t>课程项目仅使用虚构或脱敏的演示数据，不提供真实医疗诊断，不连接真实支付渠道，不承诺生产级高可用。AI能力属于可选辅助功能，不能代替医生判断，也不得阻塞核心诊疗流程。</w:t>
      </w:r>
    </w:p>
    <w:p>
      <w:pPr>
        <w:pStyle w:val="Heading2"/>
        <w:keepNext/>
      </w:pPr>
      <w:r>
        <w:t>版本记录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rPr>
          <w:tblHeader w:val="true"/>
          <w:cantSplit/>
        </w:trPr>
        <w:tc>
          <w:tcPr>
            <w:tcW w:type="dxa" w:w="1247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701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V1.0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2026年9月</w:t>
            </w:r>
          </w:p>
        </w:tc>
        <w:tc>
          <w:tcPr>
            <w:tcW w:type="dxa" w:w="595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根据课程要求和原始需求分析完成范围收敛，增加多租户、验收标准和安全边界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目录</w:t>
      </w:r>
    </w:p>
    <w:p>
      <w:pPr>
        <w:spacing w:line="240" w:lineRule="auto" w:after="0"/>
        <w:ind w:left="425" w:hanging="312"/>
      </w:pPr>
      <w:r>
        <w:rPr>
          <w:rFonts w:ascii="Arial" w:hAnsi="Arial" w:eastAsia="等线"/>
          <w:color w:val="000000"/>
          <w:sz w:val="19"/>
        </w:rPr>
        <w:t>1. 引言</w:t>
      </w:r>
    </w:p>
    <w:p>
      <w:pPr>
        <w:spacing w:line="240" w:lineRule="auto" w:after="0"/>
        <w:ind w:left="425" w:hanging="312"/>
      </w:pPr>
      <w:r>
        <w:rPr>
          <w:rFonts w:ascii="Arial" w:hAnsi="Arial" w:eastAsia="等线"/>
          <w:color w:val="000000"/>
          <w:sz w:val="19"/>
        </w:rPr>
        <w:t>2. 项目概述</w:t>
      </w:r>
    </w:p>
    <w:p>
      <w:pPr>
        <w:spacing w:line="240" w:lineRule="auto" w:after="0"/>
        <w:ind w:left="425" w:hanging="312"/>
      </w:pPr>
      <w:r>
        <w:rPr>
          <w:rFonts w:ascii="Arial" w:hAnsi="Arial" w:eastAsia="等线"/>
          <w:color w:val="000000"/>
          <w:sz w:val="19"/>
        </w:rPr>
        <w:t>3. 用户与权限</w:t>
      </w:r>
    </w:p>
    <w:p>
      <w:pPr>
        <w:spacing w:line="240" w:lineRule="auto" w:after="0"/>
        <w:ind w:left="425" w:hanging="312"/>
      </w:pPr>
      <w:r>
        <w:rPr>
          <w:rFonts w:ascii="Arial" w:hAnsi="Arial" w:eastAsia="等线"/>
          <w:color w:val="000000"/>
          <w:sz w:val="19"/>
        </w:rPr>
        <w:t>4. 总体业务流程</w:t>
      </w:r>
    </w:p>
    <w:p>
      <w:pPr>
        <w:spacing w:line="240" w:lineRule="auto" w:after="0"/>
        <w:ind w:left="425" w:hanging="312"/>
      </w:pPr>
      <w:r>
        <w:rPr>
          <w:rFonts w:ascii="Arial" w:hAnsi="Arial" w:eastAsia="等线"/>
          <w:color w:val="000000"/>
          <w:sz w:val="19"/>
        </w:rPr>
        <w:t>5. 功能需求</w:t>
      </w:r>
    </w:p>
    <w:p>
      <w:pPr>
        <w:spacing w:line="240" w:lineRule="auto" w:after="0"/>
        <w:ind w:left="425" w:hanging="312"/>
      </w:pPr>
      <w:r>
        <w:rPr>
          <w:rFonts w:ascii="Arial" w:hAnsi="Arial" w:eastAsia="等线"/>
          <w:color w:val="000000"/>
          <w:sz w:val="19"/>
        </w:rPr>
        <w:t>6. 关键用例</w:t>
      </w:r>
    </w:p>
    <w:p>
      <w:pPr>
        <w:spacing w:line="240" w:lineRule="auto" w:after="0"/>
        <w:ind w:left="425" w:hanging="312"/>
      </w:pPr>
      <w:r>
        <w:rPr>
          <w:rFonts w:ascii="Arial" w:hAnsi="Arial" w:eastAsia="等线"/>
          <w:color w:val="000000"/>
          <w:sz w:val="19"/>
        </w:rPr>
        <w:t>7. 业务规则与状态</w:t>
      </w:r>
    </w:p>
    <w:p>
      <w:pPr>
        <w:spacing w:line="240" w:lineRule="auto" w:after="0"/>
        <w:ind w:left="425" w:hanging="312"/>
      </w:pPr>
      <w:r>
        <w:rPr>
          <w:rFonts w:ascii="Arial" w:hAnsi="Arial" w:eastAsia="等线"/>
          <w:color w:val="000000"/>
          <w:sz w:val="19"/>
        </w:rPr>
        <w:t>8. 数据需求</w:t>
      </w:r>
    </w:p>
    <w:p>
      <w:pPr>
        <w:spacing w:line="240" w:lineRule="auto" w:after="0"/>
        <w:ind w:left="425" w:hanging="312"/>
      </w:pPr>
      <w:r>
        <w:rPr>
          <w:rFonts w:ascii="Arial" w:hAnsi="Arial" w:eastAsia="等线"/>
          <w:color w:val="000000"/>
          <w:sz w:val="19"/>
        </w:rPr>
        <w:t>9. 云服务架构与服务组件</w:t>
      </w:r>
    </w:p>
    <w:p>
      <w:pPr>
        <w:spacing w:line="240" w:lineRule="auto" w:after="0"/>
        <w:ind w:left="425" w:hanging="312"/>
      </w:pPr>
      <w:r>
        <w:rPr>
          <w:rFonts w:ascii="Arial" w:hAnsi="Arial" w:eastAsia="等线"/>
          <w:color w:val="000000"/>
          <w:sz w:val="19"/>
        </w:rPr>
        <w:t>10. 安全与隐私</w:t>
      </w:r>
    </w:p>
    <w:p>
      <w:pPr>
        <w:spacing w:line="240" w:lineRule="auto" w:after="0"/>
        <w:ind w:left="425" w:hanging="312"/>
      </w:pPr>
      <w:r>
        <w:rPr>
          <w:rFonts w:ascii="Arial" w:hAnsi="Arial" w:eastAsia="等线"/>
          <w:color w:val="000000"/>
          <w:sz w:val="19"/>
        </w:rPr>
        <w:t>11. 非功能需求</w:t>
      </w:r>
    </w:p>
    <w:p>
      <w:pPr>
        <w:spacing w:line="240" w:lineRule="auto" w:after="0"/>
        <w:ind w:left="425" w:hanging="312"/>
      </w:pPr>
      <w:r>
        <w:rPr>
          <w:rFonts w:ascii="Arial" w:hAnsi="Arial" w:eastAsia="等线"/>
          <w:color w:val="000000"/>
          <w:sz w:val="19"/>
        </w:rPr>
        <w:t>12. 部署与运行环境</w:t>
      </w:r>
    </w:p>
    <w:p>
      <w:pPr>
        <w:spacing w:line="240" w:lineRule="auto" w:after="0"/>
        <w:ind w:left="425" w:hanging="312"/>
      </w:pPr>
      <w:r>
        <w:rPr>
          <w:rFonts w:ascii="Arial" w:hAnsi="Arial" w:eastAsia="等线"/>
          <w:color w:val="000000"/>
          <w:sz w:val="19"/>
        </w:rPr>
        <w:t>13. 验收与测试</w:t>
      </w:r>
    </w:p>
    <w:p>
      <w:pPr>
        <w:spacing w:line="240" w:lineRule="auto" w:after="0"/>
        <w:ind w:left="425" w:hanging="312"/>
      </w:pPr>
      <w:r>
        <w:rPr>
          <w:rFonts w:ascii="Arial" w:hAnsi="Arial" w:eastAsia="等线"/>
          <w:color w:val="000000"/>
          <w:sz w:val="19"/>
        </w:rPr>
        <w:t>14. 项目迭代计划</w:t>
      </w:r>
    </w:p>
    <w:p>
      <w:pPr>
        <w:spacing w:line="240" w:lineRule="auto" w:after="0"/>
        <w:ind w:left="425" w:hanging="312"/>
      </w:pPr>
      <w:r>
        <w:rPr>
          <w:rFonts w:ascii="Arial" w:hAnsi="Arial" w:eastAsia="等线"/>
          <w:color w:val="000000"/>
          <w:sz w:val="19"/>
        </w:rPr>
        <w:t>15. 团队分工与个人成果</w:t>
      </w:r>
    </w:p>
    <w:p>
      <w:pPr>
        <w:spacing w:line="240" w:lineRule="auto" w:after="0"/>
        <w:ind w:left="425" w:hanging="312"/>
      </w:pPr>
      <w:r>
        <w:rPr>
          <w:rFonts w:ascii="Arial" w:hAnsi="Arial" w:eastAsia="等线"/>
          <w:color w:val="000000"/>
          <w:sz w:val="19"/>
        </w:rPr>
        <w:t>16. 项目风险</w:t>
      </w:r>
    </w:p>
    <w:p>
      <w:pPr>
        <w:spacing w:line="240" w:lineRule="auto" w:after="0"/>
        <w:ind w:left="425" w:hanging="312"/>
      </w:pPr>
      <w:r>
        <w:rPr>
          <w:rFonts w:ascii="Arial" w:hAnsi="Arial" w:eastAsia="等线"/>
          <w:color w:val="000000"/>
          <w:sz w:val="19"/>
        </w:rPr>
        <w:t>17. 附录 A 需求范围基线</w:t>
      </w:r>
    </w:p>
    <w:p>
      <w:pPr>
        <w:pStyle w:val="Heading1"/>
        <w:keepNext/>
      </w:pPr>
      <w:r>
        <w:t>1 引言</w:t>
      </w:r>
    </w:p>
    <w:p>
      <w:pPr>
        <w:pStyle w:val="Heading2"/>
        <w:keepNext/>
      </w:pPr>
      <w:r>
        <w:t>1.1 编写目的</w:t>
      </w:r>
    </w:p>
    <w:p>
      <w:pPr>
        <w:pStyle w:val="BodyText"/>
      </w:pPr>
      <w:r>
        <w:rPr>
          <w:rFonts w:ascii="Arial" w:hAnsi="Arial" w:eastAsia="等线"/>
          <w:color w:val="000000"/>
          <w:sz w:val="21"/>
        </w:rPr>
        <w:t>本文档作为项目需求、设计、开发、测试和期末验收的共同依据。团队成员应按照需求编号认领功能，接口设计、代码提交、测试用例和汇报材料均应能够追溯到对应需求。未经项目负责人和相关模块成员确认，不应在开发中临时扩大P0范围。</w:t>
      </w:r>
    </w:p>
    <w:p>
      <w:pPr>
        <w:pStyle w:val="Heading2"/>
        <w:keepNext/>
      </w:pPr>
      <w:r>
        <w:t>1.2 项目依据</w:t>
      </w:r>
    </w:p>
    <w:p>
      <w:pPr>
        <w:pStyle w:val="ListBullet"/>
      </w:pPr>
      <w:r>
        <w:rPr>
          <w:rFonts w:ascii="Arial" w:hAnsi="Arial" w:eastAsia="等线"/>
          <w:color w:val="000000"/>
          <w:sz w:val="21"/>
        </w:rPr>
        <w:t>《云服务工程》课程概要与安排，2026年9月10日。</w:t>
      </w:r>
    </w:p>
    <w:p>
      <w:pPr>
        <w:pStyle w:val="ListBullet"/>
      </w:pPr>
      <w:r>
        <w:rPr>
          <w:rFonts w:ascii="Arial" w:hAnsi="Arial" w:eastAsia="等线"/>
          <w:color w:val="000000"/>
          <w:sz w:val="21"/>
        </w:rPr>
        <w:t>原《基于医疗云的在线诊疗系统需求分析文档》。</w:t>
      </w:r>
    </w:p>
    <w:p>
      <w:pPr>
        <w:pStyle w:val="ListBullet"/>
      </w:pPr>
      <w:r>
        <w:rPr>
          <w:rFonts w:ascii="Arial" w:hAnsi="Arial" w:eastAsia="等线"/>
          <w:color w:val="000000"/>
          <w:sz w:val="21"/>
        </w:rPr>
        <w:t>课程规定的医疗云核心功能，包括预约挂号、疾病诊断及缴费。</w:t>
      </w:r>
    </w:p>
    <w:p>
      <w:pPr>
        <w:pStyle w:val="ListBullet"/>
      </w:pPr>
      <w:r>
        <w:rPr>
          <w:rFonts w:ascii="Arial" w:hAnsi="Arial" w:eastAsia="等线"/>
          <w:color w:val="000000"/>
          <w:sz w:val="21"/>
        </w:rPr>
        <w:t>课程强调的SaaS、PaaS、IaaS、SOA、多租户和多组织设计要求。</w:t>
      </w:r>
    </w:p>
    <w:p>
      <w:pPr>
        <w:pStyle w:val="Heading2"/>
        <w:keepNext/>
      </w:pPr>
      <w:r>
        <w:t>1.3 术语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64"/>
        <w:gridCol w:w="4564"/>
      </w:tblGrid>
      <w:tr>
        <w:trPr>
          <w:tblHeader w:val="true"/>
          <w:cantSplit/>
        </w:trPr>
        <w:tc>
          <w:tcPr>
            <w:tcW w:type="dxa" w:w="1814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7087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租户</w:t>
            </w:r>
          </w:p>
        </w:tc>
        <w:tc>
          <w:tcPr>
            <w:tcW w:type="dxa" w:w="70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使用同一套SaaS应用、但业务数据相互隔离的医疗机构。本项目预置至少两家虚拟机构用于演示。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多租户</w:t>
            </w:r>
          </w:p>
        </w:tc>
        <w:tc>
          <w:tcPr>
            <w:tcW w:type="dxa" w:w="708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多个租户共享应用实例，通过身份上下文、tenant_id、权限校验和测试实现逻辑隔离。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号源</w:t>
            </w:r>
          </w:p>
        </w:tc>
        <w:tc>
          <w:tcPr>
            <w:tcW w:type="dxa" w:w="70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医生在指定日期和时段可被预约的一次服务资源。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接诊</w:t>
            </w:r>
          </w:p>
        </w:tc>
        <w:tc>
          <w:tcPr>
            <w:tcW w:type="dxa" w:w="708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医生接受预约并记录诊疗信息的业务过程。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模拟缴费</w:t>
            </w:r>
          </w:p>
        </w:tc>
        <w:tc>
          <w:tcPr>
            <w:tcW w:type="dxa" w:w="70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不连接真实支付渠道，通过受控操作模拟订单从待支付变为已支付。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对象存储</w:t>
            </w:r>
          </w:p>
        </w:tc>
        <w:tc>
          <w:tcPr>
            <w:tcW w:type="dxa" w:w="708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用于保存检查报告图片或PDF文件的存储服务，数据库只保存对象键和元数据。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P0 P1 P2</w:t>
            </w:r>
          </w:p>
        </w:tc>
        <w:tc>
          <w:tcPr>
            <w:tcW w:type="dxa" w:w="70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分别表示必须完成、重点扩展和可选加分需求。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 项目概述</w:t>
      </w:r>
    </w:p>
    <w:p>
      <w:pPr>
        <w:pStyle w:val="Heading2"/>
        <w:keepNext/>
      </w:pPr>
      <w:r>
        <w:t>2.1 项目定位</w:t>
      </w:r>
    </w:p>
    <w:p>
      <w:pPr>
        <w:pStyle w:val="BodyText"/>
      </w:pPr>
      <w:r>
        <w:rPr>
          <w:rFonts w:ascii="Arial" w:hAnsi="Arial" w:eastAsia="等线"/>
          <w:color w:val="000000"/>
          <w:sz w:val="21"/>
        </w:rPr>
        <w:t>本项目建设一套面向基层医疗机构的轻量多租户在线预约与诊疗SaaS平台。患者可选择医疗机构、科室、医生和可用时段完成预约；医生可接诊并生成电子病历；系统根据接诊结果生成模拟缴费订单；医院管理员维护本机构基础数据并查看汇总统计；平台运营管理员维护租户并查看跨租户运行指标。</w:t>
      </w:r>
    </w:p>
    <w:p>
      <w:pPr>
        <w:pStyle w:val="Heading2"/>
        <w:keepNext/>
      </w:pPr>
      <w:r>
        <w:t>2.2 建设目标</w:t>
      </w:r>
    </w:p>
    <w:p>
      <w:pPr>
        <w:pStyle w:val="ListBullet"/>
      </w:pPr>
      <w:r>
        <w:rPr>
          <w:rFonts w:ascii="Arial" w:hAnsi="Arial" w:eastAsia="等线"/>
          <w:color w:val="000000"/>
          <w:sz w:val="21"/>
        </w:rPr>
        <w:t>在期末验收前交付可部署、可运行、可演示的完整核心业务闭环。</w:t>
      </w:r>
    </w:p>
    <w:p>
      <w:pPr>
        <w:pStyle w:val="ListBullet"/>
      </w:pPr>
      <w:r>
        <w:rPr>
          <w:rFonts w:ascii="Arial" w:hAnsi="Arial" w:eastAsia="等线"/>
          <w:color w:val="000000"/>
          <w:sz w:val="21"/>
        </w:rPr>
        <w:t>使用清晰的服务边界、接口契约和部署结构体现云服务工程方法。</w:t>
      </w:r>
    </w:p>
    <w:p>
      <w:pPr>
        <w:pStyle w:val="ListBullet"/>
      </w:pPr>
      <w:r>
        <w:rPr>
          <w:rFonts w:ascii="Arial" w:hAnsi="Arial" w:eastAsia="等线"/>
          <w:color w:val="000000"/>
          <w:sz w:val="21"/>
        </w:rPr>
        <w:t>以两家虚拟医疗机构证明租户数据隔离和多组织共享应用能力。</w:t>
      </w:r>
    </w:p>
    <w:p>
      <w:pPr>
        <w:pStyle w:val="ListBullet"/>
      </w:pPr>
      <w:r>
        <w:rPr>
          <w:rFonts w:ascii="Arial" w:hAnsi="Arial" w:eastAsia="等线"/>
          <w:color w:val="000000"/>
          <w:sz w:val="21"/>
        </w:rPr>
        <w:t>形成可追溯的需求、设计、代码、测试和个人贡献材料。</w:t>
      </w:r>
    </w:p>
    <w:p>
      <w:pPr>
        <w:pStyle w:val="Heading2"/>
        <w:keepNext/>
      </w:pPr>
      <w:r>
        <w:t>2.3 项目范围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64"/>
        <w:gridCol w:w="4564"/>
      </w:tblGrid>
      <w:tr>
        <w:trPr>
          <w:tblHeader w:val="true"/>
          <w:cantSplit/>
        </w:trPr>
        <w:tc>
          <w:tcPr>
            <w:tcW w:type="dxa" w:w="1814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7087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P0 必须完成</w:t>
            </w:r>
          </w:p>
        </w:tc>
        <w:tc>
          <w:tcPr>
            <w:tcW w:type="dxa" w:w="70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登录与RBAC、预置租户、科室医生与排班号源、预约与取消、医生接诊、电子病历、模拟订单与缴费、个人历史记录、基础云端部署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P1 重点扩展</w:t>
            </w:r>
          </w:p>
        </w:tc>
        <w:tc>
          <w:tcPr>
            <w:tcW w:type="dxa" w:w="708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多租户隔离验证、私有对象存储、基础统计、审计日志、接口文档和基本性能测试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P2 可选扩展</w:t>
            </w:r>
          </w:p>
        </w:tc>
        <w:tc>
          <w:tcPr>
            <w:tcW w:type="dxa" w:w="70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患者评价、AI病情结构化、AI病历文字整理、流程咨询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明确排除</w:t>
            </w:r>
          </w:p>
        </w:tc>
        <w:tc>
          <w:tcPr>
            <w:tcW w:type="dxa" w:w="708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真实支付、真实患者数据、药品处方、视频问诊、DICOM解析、医学影像诊断、AI自动诊断、生产级容灾、Kubernetes集群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2.4 项目假设</w:t>
      </w:r>
    </w:p>
    <w:p>
      <w:pPr>
        <w:pStyle w:val="ListBullet"/>
      </w:pPr>
      <w:r>
        <w:rPr>
          <w:rFonts w:ascii="Arial" w:hAnsi="Arial" w:eastAsia="等线"/>
          <w:color w:val="000000"/>
          <w:sz w:val="21"/>
        </w:rPr>
        <w:t>平台预置虚拟医疗机构，不实现机构在线申请、资质审核和商业结算。</w:t>
      </w:r>
    </w:p>
    <w:p>
      <w:pPr>
        <w:pStyle w:val="ListBullet"/>
      </w:pPr>
      <w:r>
        <w:rPr>
          <w:rFonts w:ascii="Arial" w:hAnsi="Arial" w:eastAsia="等线"/>
          <w:color w:val="000000"/>
          <w:sz w:val="21"/>
        </w:rPr>
        <w:t>医生、科室、患者和诊疗数据均为课程演示数据。</w:t>
      </w:r>
    </w:p>
    <w:p>
      <w:pPr>
        <w:pStyle w:val="ListBullet"/>
      </w:pPr>
      <w:r>
        <w:rPr>
          <w:rFonts w:ascii="Arial" w:hAnsi="Arial" w:eastAsia="等线"/>
          <w:color w:val="000000"/>
          <w:sz w:val="21"/>
        </w:rPr>
        <w:t>一个医生在课程项目阶段只隶属于一家医疗机构。</w:t>
      </w:r>
    </w:p>
    <w:p>
      <w:pPr>
        <w:pStyle w:val="ListBullet"/>
      </w:pPr>
      <w:r>
        <w:rPr>
          <w:rFonts w:ascii="Arial" w:hAnsi="Arial" w:eastAsia="等线"/>
          <w:color w:val="000000"/>
          <w:sz w:val="21"/>
        </w:rPr>
        <w:t>患者账号属于平台级账号，可在不同机构预约，但每次业务记录必须归属唯一租户。</w:t>
      </w:r>
    </w:p>
    <w:p>
      <w:pPr>
        <w:pStyle w:val="ListBullet"/>
      </w:pPr>
      <w:r>
        <w:rPr>
          <w:rFonts w:ascii="Arial" w:hAnsi="Arial" w:eastAsia="等线"/>
          <w:color w:val="000000"/>
          <w:sz w:val="21"/>
        </w:rPr>
        <w:t>核心功能在无AI服务、无对象存储扩展时仍能完成基本演示。</w:t>
      </w:r>
    </w:p>
    <w:p>
      <w:pPr>
        <w:pStyle w:val="Heading1"/>
        <w:keepNext/>
      </w:pPr>
      <w:r>
        <w:t>3 用户与权限</w:t>
      </w:r>
    </w:p>
    <w:p>
      <w:pPr>
        <w:pStyle w:val="Heading2"/>
        <w:keepNext/>
      </w:pPr>
      <w:r>
        <w:t>3.1 用户角色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rPr>
          <w:tblHeader w:val="true"/>
          <w:cantSplit/>
        </w:trPr>
        <w:tc>
          <w:tcPr>
            <w:tcW w:type="dxa" w:w="1701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701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5499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8"/>
              </w:rPr>
              <w:t>主要权限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患者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平台用户</w:t>
            </w:r>
          </w:p>
        </w:tc>
        <w:tc>
          <w:tcPr>
            <w:tcW w:type="dxa" w:w="54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选择机构和医生、预约、提交病情、查看本人病历与订单、模拟缴费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医生</w:t>
            </w:r>
          </w:p>
        </w:tc>
        <w:tc>
          <w:tcPr>
            <w:tcW w:type="dxa" w:w="170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租户用户</w:t>
            </w:r>
          </w:p>
        </w:tc>
        <w:tc>
          <w:tcPr>
            <w:tcW w:type="dxa" w:w="5499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查看本机构分配给本人的预约、接诊、填写病历、查看必要的患者资料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医院管理员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租户管理员</w:t>
            </w:r>
          </w:p>
        </w:tc>
        <w:tc>
          <w:tcPr>
            <w:tcW w:type="dxa" w:w="54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管理本机构科室、医生、排班和号源，查看本机构业务统计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平台运营管理员</w:t>
            </w:r>
          </w:p>
        </w:tc>
        <w:tc>
          <w:tcPr>
            <w:tcW w:type="dxa" w:w="170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平台管理员</w:t>
            </w:r>
          </w:p>
        </w:tc>
        <w:tc>
          <w:tcPr>
            <w:tcW w:type="dxa" w:w="5499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维护租户基础信息、查看脱敏汇总指标和系统运行状态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3.2 权限矩阵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6"/>
        <w:gridCol w:w="1826"/>
        <w:gridCol w:w="1826"/>
        <w:gridCol w:w="1826"/>
        <w:gridCol w:w="1826"/>
      </w:tblGrid>
      <w:tr>
        <w:trPr>
          <w:tblHeader w:val="true"/>
          <w:cantSplit/>
        </w:trPr>
        <w:tc>
          <w:tcPr>
            <w:tcW w:type="dxa" w:w="2324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1361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患者</w:t>
            </w:r>
          </w:p>
        </w:tc>
        <w:tc>
          <w:tcPr>
            <w:tcW w:type="dxa" w:w="1474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医生</w:t>
            </w:r>
          </w:p>
        </w:tc>
        <w:tc>
          <w:tcPr>
            <w:tcW w:type="dxa" w:w="1701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医院管理员</w:t>
            </w:r>
          </w:p>
        </w:tc>
        <w:tc>
          <w:tcPr>
            <w:tcW w:type="dxa" w:w="2041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平台运营管理员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查看本人资料</w:t>
            </w:r>
          </w:p>
        </w:tc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允许</w:t>
            </w:r>
          </w:p>
        </w:tc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允许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允许</w:t>
            </w:r>
          </w:p>
        </w:tc>
        <w:tc>
          <w:tcPr>
            <w:tcW w:type="dxa" w:w="20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允许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预约与取消</w:t>
            </w:r>
          </w:p>
        </w:tc>
        <w:tc>
          <w:tcPr>
            <w:tcW w:type="dxa" w:w="136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允许</w:t>
            </w:r>
          </w:p>
        </w:tc>
        <w:tc>
          <w:tcPr>
            <w:tcW w:type="dxa" w:w="147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不允许</w:t>
            </w:r>
          </w:p>
        </w:tc>
        <w:tc>
          <w:tcPr>
            <w:tcW w:type="dxa" w:w="170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不允许</w:t>
            </w:r>
          </w:p>
        </w:tc>
        <w:tc>
          <w:tcPr>
            <w:tcW w:type="dxa" w:w="204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不允许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填写诊断和病历</w:t>
            </w:r>
          </w:p>
        </w:tc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不允许</w:t>
            </w:r>
          </w:p>
        </w:tc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仅本人接诊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不允许</w:t>
            </w:r>
          </w:p>
        </w:tc>
        <w:tc>
          <w:tcPr>
            <w:tcW w:type="dxa" w:w="20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不允许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维护科室医生</w:t>
            </w:r>
          </w:p>
        </w:tc>
        <w:tc>
          <w:tcPr>
            <w:tcW w:type="dxa" w:w="136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不允许</w:t>
            </w:r>
          </w:p>
        </w:tc>
        <w:tc>
          <w:tcPr>
            <w:tcW w:type="dxa" w:w="147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不允许</w:t>
            </w:r>
          </w:p>
        </w:tc>
        <w:tc>
          <w:tcPr>
            <w:tcW w:type="dxa" w:w="170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仅本机构</w:t>
            </w:r>
          </w:p>
        </w:tc>
        <w:tc>
          <w:tcPr>
            <w:tcW w:type="dxa" w:w="204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不允许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查看本机构明细</w:t>
            </w:r>
          </w:p>
        </w:tc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仅本人记录</w:t>
            </w:r>
          </w:p>
        </w:tc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仅必要记录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允许</w:t>
            </w:r>
          </w:p>
        </w:tc>
        <w:tc>
          <w:tcPr>
            <w:tcW w:type="dxa" w:w="20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默认不允许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查看跨机构统计</w:t>
            </w:r>
          </w:p>
        </w:tc>
        <w:tc>
          <w:tcPr>
            <w:tcW w:type="dxa" w:w="136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不允许</w:t>
            </w:r>
          </w:p>
        </w:tc>
        <w:tc>
          <w:tcPr>
            <w:tcW w:type="dxa" w:w="147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不允许</w:t>
            </w:r>
          </w:p>
        </w:tc>
        <w:tc>
          <w:tcPr>
            <w:tcW w:type="dxa" w:w="170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不允许</w:t>
            </w:r>
          </w:p>
        </w:tc>
        <w:tc>
          <w:tcPr>
            <w:tcW w:type="dxa" w:w="204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仅脱敏汇总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维护租户</w:t>
            </w:r>
          </w:p>
        </w:tc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不允许</w:t>
            </w:r>
          </w:p>
        </w:tc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不允许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不允许</w:t>
            </w:r>
          </w:p>
        </w:tc>
        <w:tc>
          <w:tcPr>
            <w:tcW w:type="dxa" w:w="20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允许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3.3 租户隔离原则</w:t>
      </w:r>
    </w:p>
    <w:p>
      <w:pPr>
        <w:pStyle w:val="ListBullet"/>
      </w:pPr>
      <w:r>
        <w:rPr>
          <w:rFonts w:ascii="Arial" w:hAnsi="Arial" w:eastAsia="等线"/>
          <w:color w:val="000000"/>
          <w:sz w:val="21"/>
        </w:rPr>
        <w:t>后端从已认证身份中取得租户上下文，不能信任客户端自行提交的tenant_id。</w:t>
      </w:r>
    </w:p>
    <w:p>
      <w:pPr>
        <w:pStyle w:val="ListBullet"/>
      </w:pPr>
      <w:r>
        <w:rPr>
          <w:rFonts w:ascii="Arial" w:hAnsi="Arial" w:eastAsia="等线"/>
          <w:color w:val="000000"/>
          <w:sz w:val="21"/>
        </w:rPr>
        <w:t>医生、科室、号源、预约、病历、订单、文件和统计记录必须携带并校验tenant_id。</w:t>
      </w:r>
    </w:p>
    <w:p>
      <w:pPr>
        <w:pStyle w:val="ListBullet"/>
      </w:pPr>
      <w:r>
        <w:rPr>
          <w:rFonts w:ascii="Arial" w:hAnsi="Arial" w:eastAsia="等线"/>
          <w:color w:val="000000"/>
          <w:sz w:val="21"/>
        </w:rPr>
        <w:t>跨实体操作必须验证相关数据属于同一租户，禁止通过修改ID访问其他机构数据。</w:t>
      </w:r>
    </w:p>
    <w:p>
      <w:pPr>
        <w:pStyle w:val="ListBullet"/>
      </w:pPr>
      <w:r>
        <w:rPr>
          <w:rFonts w:ascii="Arial" w:hAnsi="Arial" w:eastAsia="等线"/>
          <w:color w:val="000000"/>
          <w:sz w:val="21"/>
        </w:rPr>
        <w:t>平台管理员默认查看脱敏汇总，不直接读取患者病历和附件。</w:t>
      </w:r>
    </w:p>
    <w:p>
      <w:pPr>
        <w:pStyle w:val="ListBullet"/>
      </w:pPr>
      <w:r>
        <w:rPr>
          <w:rFonts w:ascii="Arial" w:hAnsi="Arial" w:eastAsia="等线"/>
          <w:color w:val="000000"/>
          <w:sz w:val="21"/>
        </w:rPr>
        <w:t>系统必须通过自动化或接口测试证明租户A账号无法访问租户B业务数据。</w:t>
      </w:r>
    </w:p>
    <w:p>
      <w:pPr>
        <w:pStyle w:val="Heading1"/>
        <w:keepNext/>
      </w:pPr>
      <w:r>
        <w:t>4 总体业务流程</w:t>
      </w:r>
    </w:p>
    <w:p>
      <w:pPr>
        <w:spacing w:line="300" w:lineRule="auto" w:after="60"/>
        <w:ind w:left="425" w:hanging="312"/>
      </w:pPr>
      <w:r>
        <w:rPr>
          <w:rFonts w:ascii="Arial" w:hAnsi="Arial" w:eastAsia="等线"/>
          <w:color w:val="000000"/>
          <w:sz w:val="21"/>
        </w:rPr>
        <w:t>1. 平台预置医疗机构租户，医院管理员维护科室、医生、排班和号源。</w:t>
      </w:r>
    </w:p>
    <w:p>
      <w:pPr>
        <w:spacing w:line="300" w:lineRule="auto" w:after="60"/>
        <w:ind w:left="425" w:hanging="312"/>
      </w:pPr>
      <w:r>
        <w:rPr>
          <w:rFonts w:ascii="Arial" w:hAnsi="Arial" w:eastAsia="等线"/>
          <w:color w:val="000000"/>
          <w:sz w:val="21"/>
        </w:rPr>
        <w:t>2. 患者注册并登录平台，选择医疗机构、科室、医生和可预约时段。</w:t>
      </w:r>
    </w:p>
    <w:p>
      <w:pPr>
        <w:spacing w:line="300" w:lineRule="auto" w:after="60"/>
        <w:ind w:left="425" w:hanging="312"/>
      </w:pPr>
      <w:r>
        <w:rPr>
          <w:rFonts w:ascii="Arial" w:hAnsi="Arial" w:eastAsia="等线"/>
          <w:color w:val="000000"/>
          <w:sz w:val="21"/>
        </w:rPr>
        <w:t>3. 系统校验号源后创建预约；患者可补充病情描述，并可选择上传检查资料。</w:t>
      </w:r>
    </w:p>
    <w:p>
      <w:pPr>
        <w:spacing w:line="300" w:lineRule="auto" w:after="60"/>
        <w:ind w:left="425" w:hanging="312"/>
      </w:pPr>
      <w:r>
        <w:rPr>
          <w:rFonts w:ascii="Arial" w:hAnsi="Arial" w:eastAsia="等线"/>
          <w:color w:val="000000"/>
          <w:sz w:val="21"/>
        </w:rPr>
        <w:t>4. 医生在本机构工作台查看分配给自己的待接诊预约，开始接诊并填写诊疗记录。</w:t>
      </w:r>
    </w:p>
    <w:p>
      <w:pPr>
        <w:spacing w:line="300" w:lineRule="auto" w:after="60"/>
        <w:ind w:left="425" w:hanging="312"/>
      </w:pPr>
      <w:r>
        <w:rPr>
          <w:rFonts w:ascii="Arial" w:hAnsi="Arial" w:eastAsia="等线"/>
          <w:color w:val="000000"/>
          <w:sz w:val="21"/>
        </w:rPr>
        <w:t>5. 医生提交病历后，系统生成待支付订单。</w:t>
      </w:r>
    </w:p>
    <w:p>
      <w:pPr>
        <w:spacing w:line="300" w:lineRule="auto" w:after="60"/>
        <w:ind w:left="425" w:hanging="312"/>
      </w:pPr>
      <w:r>
        <w:rPr>
          <w:rFonts w:ascii="Arial" w:hAnsi="Arial" w:eastAsia="等线"/>
          <w:color w:val="000000"/>
          <w:sz w:val="21"/>
        </w:rPr>
        <w:t>6. 患者执行模拟支付，系统记录支付时间并将订单更新为已支付。</w:t>
      </w:r>
    </w:p>
    <w:p>
      <w:pPr>
        <w:spacing w:line="300" w:lineRule="auto" w:after="60"/>
        <w:ind w:left="425" w:hanging="312"/>
      </w:pPr>
      <w:r>
        <w:rPr>
          <w:rFonts w:ascii="Arial" w:hAnsi="Arial" w:eastAsia="等线"/>
          <w:color w:val="000000"/>
          <w:sz w:val="21"/>
        </w:rPr>
        <w:t>7. 患者查看本人历史预约、病历和订单；医院管理员查看本机构汇总统计。</w:t>
      </w:r>
    </w:p>
    <w:p>
      <w:pPr>
        <w:pStyle w:val="BodyText"/>
      </w:pPr>
      <w:r>
        <w:rPr>
          <w:rFonts w:ascii="Arial" w:hAnsi="Arial" w:eastAsia="等线"/>
          <w:color w:val="000000"/>
          <w:sz w:val="21"/>
        </w:rPr>
        <w:t>核心验收链路为“患者预约成功—医生完成接诊—系统生成订单—患者模拟支付成功—双方可查询对应记录”。文件、评价和AI功能不得成为该链路的强制依赖。</w:t>
      </w:r>
    </w:p>
    <w:p>
      <w:pPr>
        <w:pStyle w:val="Heading1"/>
        <w:keepNext/>
      </w:pPr>
      <w:r>
        <w:t>5 功能需求</w:t>
      </w:r>
    </w:p>
    <w:p>
      <w:pPr>
        <w:pStyle w:val="Heading2"/>
        <w:keepNext/>
      </w:pPr>
      <w:r>
        <w:t>5.1 账号与身份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6"/>
        <w:gridCol w:w="1826"/>
        <w:gridCol w:w="1826"/>
        <w:gridCol w:w="1826"/>
        <w:gridCol w:w="1826"/>
      </w:tblGrid>
      <w:tr>
        <w:trPr>
          <w:tblHeader w:val="true"/>
          <w:cantSplit/>
        </w:trPr>
        <w:tc>
          <w:tcPr>
            <w:tcW w:type="dxa" w:w="1587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850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1361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3005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需求说明</w:t>
            </w:r>
          </w:p>
        </w:tc>
        <w:tc>
          <w:tcPr>
            <w:tcW w:type="dxa" w:w="2268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验收要点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FR-AUTH-01</w:t>
            </w:r>
          </w:p>
        </w:tc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P0</w:t>
            </w:r>
          </w:p>
        </w:tc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用户登录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用户使用账号和密码登录；系统返回身份、角色和可用租户范围。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有效账号可进入对应工作台；错误凭据不透露账号是否存在。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FR-AUTH-02</w:t>
            </w:r>
          </w:p>
        </w:tc>
        <w:tc>
          <w:tcPr>
            <w:tcW w:type="dxa" w:w="850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P0</w:t>
            </w:r>
          </w:p>
        </w:tc>
        <w:tc>
          <w:tcPr>
            <w:tcW w:type="dxa" w:w="136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角色授权</w:t>
            </w:r>
          </w:p>
        </w:tc>
        <w:tc>
          <w:tcPr>
            <w:tcW w:type="dxa" w:w="3005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后端按角色和资源归属校验每次受保护操作。</w:t>
            </w:r>
          </w:p>
        </w:tc>
        <w:tc>
          <w:tcPr>
            <w:tcW w:type="dxa" w:w="2268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越权请求返回拒绝结果，且不返回受保护数据。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FR-AUTH-03</w:t>
            </w:r>
          </w:p>
        </w:tc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P0</w:t>
            </w:r>
          </w:p>
        </w:tc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患者注册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患者可创建平台账号；演示环境不得录入真实身份证号。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重复账号不能创建；密码按安全方式存储。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FR-AUTH-04</w:t>
            </w:r>
          </w:p>
        </w:tc>
        <w:tc>
          <w:tcPr>
            <w:tcW w:type="dxa" w:w="850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P1</w:t>
            </w:r>
          </w:p>
        </w:tc>
        <w:tc>
          <w:tcPr>
            <w:tcW w:type="dxa" w:w="136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操作审计</w:t>
            </w:r>
          </w:p>
        </w:tc>
        <w:tc>
          <w:tcPr>
            <w:tcW w:type="dxa" w:w="3005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记录登录、病历提交、支付状态变化和管理操作。</w:t>
            </w:r>
          </w:p>
        </w:tc>
        <w:tc>
          <w:tcPr>
            <w:tcW w:type="dxa" w:w="2268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审计记录包含操作者、时间、动作、对象和结果。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租户与医疗资源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6"/>
        <w:gridCol w:w="1826"/>
        <w:gridCol w:w="1826"/>
        <w:gridCol w:w="1826"/>
        <w:gridCol w:w="1826"/>
      </w:tblGrid>
      <w:tr>
        <w:trPr>
          <w:tblHeader w:val="true"/>
          <w:cantSplit/>
        </w:trPr>
        <w:tc>
          <w:tcPr>
            <w:tcW w:type="dxa" w:w="1587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850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1361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3005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需求说明</w:t>
            </w:r>
          </w:p>
        </w:tc>
        <w:tc>
          <w:tcPr>
            <w:tcW w:type="dxa" w:w="2268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验收要点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FR-TEN-01</w:t>
            </w:r>
          </w:p>
        </w:tc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P0</w:t>
            </w:r>
          </w:p>
        </w:tc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预置租户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系统至少提供两家虚拟医疗机构。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两个租户可独立配置并显示不同科室和医生。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FR-TEN-02</w:t>
            </w:r>
          </w:p>
        </w:tc>
        <w:tc>
          <w:tcPr>
            <w:tcW w:type="dxa" w:w="850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P0</w:t>
            </w:r>
          </w:p>
        </w:tc>
        <w:tc>
          <w:tcPr>
            <w:tcW w:type="dxa" w:w="136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科室管理</w:t>
            </w:r>
          </w:p>
        </w:tc>
        <w:tc>
          <w:tcPr>
            <w:tcW w:type="dxa" w:w="3005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医院管理员维护本机构科室。</w:t>
            </w:r>
          </w:p>
        </w:tc>
        <w:tc>
          <w:tcPr>
            <w:tcW w:type="dxa" w:w="2268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不能查看或修改其他机构科室。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FR-TEN-03</w:t>
            </w:r>
          </w:p>
        </w:tc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P0</w:t>
            </w:r>
          </w:p>
        </w:tc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医生管理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医院管理员维护本机构医生及所属科室。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医生必须属于本机构有效科室。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FR-TEN-04</w:t>
            </w:r>
          </w:p>
        </w:tc>
        <w:tc>
          <w:tcPr>
            <w:tcW w:type="dxa" w:w="850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P0</w:t>
            </w:r>
          </w:p>
        </w:tc>
        <w:tc>
          <w:tcPr>
            <w:tcW w:type="dxa" w:w="136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排班号源</w:t>
            </w:r>
          </w:p>
        </w:tc>
        <w:tc>
          <w:tcPr>
            <w:tcW w:type="dxa" w:w="3005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医院管理员为医生创建日期、时段和容量。</w:t>
            </w:r>
          </w:p>
        </w:tc>
        <w:tc>
          <w:tcPr>
            <w:tcW w:type="dxa" w:w="2268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过期日期不能新增号源；停用号源不能预约。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FR-TEN-05</w:t>
            </w:r>
          </w:p>
        </w:tc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P1</w:t>
            </w:r>
          </w:p>
        </w:tc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租户状态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平台管理员可启用或停用虚拟租户。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停用后禁止创建新业务，已有记录仍可按权限查询。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5.3 预约挂号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6"/>
        <w:gridCol w:w="1826"/>
        <w:gridCol w:w="1826"/>
        <w:gridCol w:w="1826"/>
        <w:gridCol w:w="1826"/>
      </w:tblGrid>
      <w:tr>
        <w:trPr>
          <w:tblHeader w:val="true"/>
          <w:cantSplit/>
        </w:trPr>
        <w:tc>
          <w:tcPr>
            <w:tcW w:type="dxa" w:w="1587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850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1361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3005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需求说明</w:t>
            </w:r>
          </w:p>
        </w:tc>
        <w:tc>
          <w:tcPr>
            <w:tcW w:type="dxa" w:w="2268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验收要点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FR-APT-01</w:t>
            </w:r>
          </w:p>
        </w:tc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P0</w:t>
            </w:r>
          </w:p>
        </w:tc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查询号源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患者按机构、科室、医生和日期查询可预约号源。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只显示启用、未过期且仍有余量的号源。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FR-APT-02</w:t>
            </w:r>
          </w:p>
        </w:tc>
        <w:tc>
          <w:tcPr>
            <w:tcW w:type="dxa" w:w="850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P0</w:t>
            </w:r>
          </w:p>
        </w:tc>
        <w:tc>
          <w:tcPr>
            <w:tcW w:type="dxa" w:w="136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创建预约</w:t>
            </w:r>
          </w:p>
        </w:tc>
        <w:tc>
          <w:tcPr>
            <w:tcW w:type="dxa" w:w="3005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患者选择号源并提交预约。</w:t>
            </w:r>
          </w:p>
        </w:tc>
        <w:tc>
          <w:tcPr>
            <w:tcW w:type="dxa" w:w="2268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并发操作下不得超出号源容量；预约归属正确租户。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FR-APT-03</w:t>
            </w:r>
          </w:p>
        </w:tc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P0</w:t>
            </w:r>
          </w:p>
        </w:tc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取消预约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患者可在接诊开始前取消本人预约。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取消成功后释放号源；已接诊记录不能取消。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FR-APT-04</w:t>
            </w:r>
          </w:p>
        </w:tc>
        <w:tc>
          <w:tcPr>
            <w:tcW w:type="dxa" w:w="850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P0</w:t>
            </w:r>
          </w:p>
        </w:tc>
        <w:tc>
          <w:tcPr>
            <w:tcW w:type="dxa" w:w="136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查看预约</w:t>
            </w:r>
          </w:p>
        </w:tc>
        <w:tc>
          <w:tcPr>
            <w:tcW w:type="dxa" w:w="3005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患者查看本人预约，医生查看分配给本人的本机构预约。</w:t>
            </w:r>
          </w:p>
        </w:tc>
        <w:tc>
          <w:tcPr>
            <w:tcW w:type="dxa" w:w="2268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不同角色只能看到权限范围内的数据。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FR-APT-05</w:t>
            </w:r>
          </w:p>
        </w:tc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P1</w:t>
            </w:r>
          </w:p>
        </w:tc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病情补充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患者在接诊前补充病情描述。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病情描述保留修改时间，医生可在接诊时查看。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5.4 接诊与电子病历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6"/>
        <w:gridCol w:w="1826"/>
        <w:gridCol w:w="1826"/>
        <w:gridCol w:w="1826"/>
        <w:gridCol w:w="1826"/>
      </w:tblGrid>
      <w:tr>
        <w:trPr>
          <w:tblHeader w:val="true"/>
          <w:cantSplit/>
        </w:trPr>
        <w:tc>
          <w:tcPr>
            <w:tcW w:type="dxa" w:w="1587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850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1361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3005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需求说明</w:t>
            </w:r>
          </w:p>
        </w:tc>
        <w:tc>
          <w:tcPr>
            <w:tcW w:type="dxa" w:w="2268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验收要点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FR-CON-01</w:t>
            </w:r>
          </w:p>
        </w:tc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P0</w:t>
            </w:r>
          </w:p>
        </w:tc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开始接诊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医生对分配给本人的已预约记录开始接诊。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系统记录接诊医生和开始时间；其他医生不能接管。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FR-CON-02</w:t>
            </w:r>
          </w:p>
        </w:tc>
        <w:tc>
          <w:tcPr>
            <w:tcW w:type="dxa" w:w="850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P0</w:t>
            </w:r>
          </w:p>
        </w:tc>
        <w:tc>
          <w:tcPr>
            <w:tcW w:type="dxa" w:w="136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填写病历</w:t>
            </w:r>
          </w:p>
        </w:tc>
        <w:tc>
          <w:tcPr>
            <w:tcW w:type="dxa" w:w="3005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医生填写主诉、诊疗意见和备注。</w:t>
            </w:r>
          </w:p>
        </w:tc>
        <w:tc>
          <w:tcPr>
            <w:tcW w:type="dxa" w:w="2268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必填字段缺失时不能提交；患者不能编辑医生内容。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FR-CON-03</w:t>
            </w:r>
          </w:p>
        </w:tc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P0</w:t>
            </w:r>
          </w:p>
        </w:tc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完成接诊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医生确认病历后完成接诊。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提交后生成病历记录并触发订单生成。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FR-CON-04</w:t>
            </w:r>
          </w:p>
        </w:tc>
        <w:tc>
          <w:tcPr>
            <w:tcW w:type="dxa" w:w="850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P0</w:t>
            </w:r>
          </w:p>
        </w:tc>
        <w:tc>
          <w:tcPr>
            <w:tcW w:type="dxa" w:w="136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病历查询</w:t>
            </w:r>
          </w:p>
        </w:tc>
        <w:tc>
          <w:tcPr>
            <w:tcW w:type="dxa" w:w="3005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患者查看本人病历；医生查看本人接诊记录。</w:t>
            </w:r>
          </w:p>
        </w:tc>
        <w:tc>
          <w:tcPr>
            <w:tcW w:type="dxa" w:w="2268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查询受到本人、医生归属和租户权限约束。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FR-CON-05</w:t>
            </w:r>
          </w:p>
        </w:tc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P1</w:t>
            </w:r>
          </w:p>
        </w:tc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病历修改审计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已提交病历如需更正，应记录更正前后内容和操作者。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更正操作可追溯，不能无痕覆盖。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5.5 订单与模拟缴费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6"/>
        <w:gridCol w:w="1826"/>
        <w:gridCol w:w="1826"/>
        <w:gridCol w:w="1826"/>
        <w:gridCol w:w="1826"/>
      </w:tblGrid>
      <w:tr>
        <w:trPr>
          <w:tblHeader w:val="true"/>
          <w:cantSplit/>
        </w:trPr>
        <w:tc>
          <w:tcPr>
            <w:tcW w:type="dxa" w:w="1587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850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1361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3005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需求说明</w:t>
            </w:r>
          </w:p>
        </w:tc>
        <w:tc>
          <w:tcPr>
            <w:tcW w:type="dxa" w:w="2268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验收要点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FR-ORD-01</w:t>
            </w:r>
          </w:p>
        </w:tc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P0</w:t>
            </w:r>
          </w:p>
        </w:tc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生成订单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完成接诊后，系统按演示收费规则生成一笔待支付订单。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同一次接诊只能生成一笔有效订单。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FR-ORD-02</w:t>
            </w:r>
          </w:p>
        </w:tc>
        <w:tc>
          <w:tcPr>
            <w:tcW w:type="dxa" w:w="850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P0</w:t>
            </w:r>
          </w:p>
        </w:tc>
        <w:tc>
          <w:tcPr>
            <w:tcW w:type="dxa" w:w="136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模拟支付</w:t>
            </w:r>
          </w:p>
        </w:tc>
        <w:tc>
          <w:tcPr>
            <w:tcW w:type="dxa" w:w="3005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患者对本人待支付订单执行模拟支付。</w:t>
            </w:r>
          </w:p>
        </w:tc>
        <w:tc>
          <w:tcPr>
            <w:tcW w:type="dxa" w:w="2268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操作成功后记录支付时间，重复请求不能重复扣款或产生新订单。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FR-ORD-03</w:t>
            </w:r>
          </w:p>
        </w:tc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P0</w:t>
            </w:r>
          </w:p>
        </w:tc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订单查询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患者查看本人订单；医院管理员查看本机构订单。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订单金额、状态和关联接诊记录一致。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FR-ORD-04</w:t>
            </w:r>
          </w:p>
        </w:tc>
        <w:tc>
          <w:tcPr>
            <w:tcW w:type="dxa" w:w="850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P1</w:t>
            </w:r>
          </w:p>
        </w:tc>
        <w:tc>
          <w:tcPr>
            <w:tcW w:type="dxa" w:w="136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取消订单</w:t>
            </w:r>
          </w:p>
        </w:tc>
        <w:tc>
          <w:tcPr>
            <w:tcW w:type="dxa" w:w="3005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未支付且对应接诊记录允许撤销时，可将订单标记为已取消。</w:t>
            </w:r>
          </w:p>
        </w:tc>
        <w:tc>
          <w:tcPr>
            <w:tcW w:type="dxa" w:w="2268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已支付订单不能通过普通取消操作改回待支付。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5.6 文件服务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6"/>
        <w:gridCol w:w="1826"/>
        <w:gridCol w:w="1826"/>
        <w:gridCol w:w="1826"/>
        <w:gridCol w:w="1826"/>
      </w:tblGrid>
      <w:tr>
        <w:trPr>
          <w:tblHeader w:val="true"/>
          <w:cantSplit/>
        </w:trPr>
        <w:tc>
          <w:tcPr>
            <w:tcW w:type="dxa" w:w="1587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850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1361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3005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需求说明</w:t>
            </w:r>
          </w:p>
        </w:tc>
        <w:tc>
          <w:tcPr>
            <w:tcW w:type="dxa" w:w="2268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验收要点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FR-FILE-01</w:t>
            </w:r>
          </w:p>
        </w:tc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P1</w:t>
            </w:r>
          </w:p>
        </w:tc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文件上传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患者为本人预约上传脱敏的JPG、PNG或PDF演示文件。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限制类型和大小；文件与患者、预约和租户正确关联。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FR-FILE-02</w:t>
            </w:r>
          </w:p>
        </w:tc>
        <w:tc>
          <w:tcPr>
            <w:tcW w:type="dxa" w:w="850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P1</w:t>
            </w:r>
          </w:p>
        </w:tc>
        <w:tc>
          <w:tcPr>
            <w:tcW w:type="dxa" w:w="136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对象存储</w:t>
            </w:r>
          </w:p>
        </w:tc>
        <w:tc>
          <w:tcPr>
            <w:tcW w:type="dxa" w:w="3005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文件本体保存到私有对象存储，数据库保存object_key和元数据。</w:t>
            </w:r>
          </w:p>
        </w:tc>
        <w:tc>
          <w:tcPr>
            <w:tcW w:type="dxa" w:w="2268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数据库不保存大文件二进制，不保存永久公开链接。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FR-FILE-03</w:t>
            </w:r>
          </w:p>
        </w:tc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P1</w:t>
            </w:r>
          </w:p>
        </w:tc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授权查看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后端校验权限后生成短期签名链接。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无权限用户无法通过对象键直接读取文件。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FR-FILE-04</w:t>
            </w:r>
          </w:p>
        </w:tc>
        <w:tc>
          <w:tcPr>
            <w:tcW w:type="dxa" w:w="850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P1</w:t>
            </w:r>
          </w:p>
        </w:tc>
        <w:tc>
          <w:tcPr>
            <w:tcW w:type="dxa" w:w="136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文件删除</w:t>
            </w:r>
          </w:p>
        </w:tc>
        <w:tc>
          <w:tcPr>
            <w:tcW w:type="dxa" w:w="3005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上传者可在接诊前删除误传文件。</w:t>
            </w:r>
          </w:p>
        </w:tc>
        <w:tc>
          <w:tcPr>
            <w:tcW w:type="dxa" w:w="2268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删除同时更新元数据；已用于接诊的文件不能随意删除。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5.7 统计与评价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6"/>
        <w:gridCol w:w="1826"/>
        <w:gridCol w:w="1826"/>
        <w:gridCol w:w="1826"/>
        <w:gridCol w:w="1826"/>
      </w:tblGrid>
      <w:tr>
        <w:trPr>
          <w:tblHeader w:val="true"/>
          <w:cantSplit/>
        </w:trPr>
        <w:tc>
          <w:tcPr>
            <w:tcW w:type="dxa" w:w="1587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850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1361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3005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需求说明</w:t>
            </w:r>
          </w:p>
        </w:tc>
        <w:tc>
          <w:tcPr>
            <w:tcW w:type="dxa" w:w="2268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验收要点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FR-STAT-01</w:t>
            </w:r>
          </w:p>
        </w:tc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P1</w:t>
            </w:r>
          </w:p>
        </w:tc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医院统计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医院管理员查看本机构预约量、接诊量、订单金额和趋势。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统计只包含本机构数据，并能追溯到统计时间范围。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FR-STAT-02</w:t>
            </w:r>
          </w:p>
        </w:tc>
        <w:tc>
          <w:tcPr>
            <w:tcW w:type="dxa" w:w="850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P1</w:t>
            </w:r>
          </w:p>
        </w:tc>
        <w:tc>
          <w:tcPr>
            <w:tcW w:type="dxa" w:w="136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平台统计</w:t>
            </w:r>
          </w:p>
        </w:tc>
        <w:tc>
          <w:tcPr>
            <w:tcW w:type="dxa" w:w="3005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平台管理员查看各虚拟租户的脱敏汇总。</w:t>
            </w:r>
          </w:p>
        </w:tc>
        <w:tc>
          <w:tcPr>
            <w:tcW w:type="dxa" w:w="2268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页面不显示患者姓名、病情或病历正文。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FR-FBK-01</w:t>
            </w:r>
          </w:p>
        </w:tc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P2</w:t>
            </w:r>
          </w:p>
        </w:tc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患者评价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已完成接诊的患者可提交一次评分和简短意见。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未完成接诊不能评价；重复评价被拒绝。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5.8 AI辅助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6"/>
        <w:gridCol w:w="1826"/>
        <w:gridCol w:w="1826"/>
        <w:gridCol w:w="1826"/>
        <w:gridCol w:w="1826"/>
      </w:tblGrid>
      <w:tr>
        <w:trPr>
          <w:tblHeader w:val="true"/>
          <w:cantSplit/>
        </w:trPr>
        <w:tc>
          <w:tcPr>
            <w:tcW w:type="dxa" w:w="1587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850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1361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3005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需求说明</w:t>
            </w:r>
          </w:p>
        </w:tc>
        <w:tc>
          <w:tcPr>
            <w:tcW w:type="dxa" w:w="2268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验收要点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FR-AI-01</w:t>
            </w:r>
          </w:p>
        </w:tc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P2</w:t>
            </w:r>
          </w:p>
        </w:tc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病情结构化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将患者自由文本整理为症状、持续时间和缺失信息。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输出标注为辅助结果，患者确认后才可保存。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FR-AI-02</w:t>
            </w:r>
          </w:p>
        </w:tc>
        <w:tc>
          <w:tcPr>
            <w:tcW w:type="dxa" w:w="850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P2</w:t>
            </w:r>
          </w:p>
        </w:tc>
        <w:tc>
          <w:tcPr>
            <w:tcW w:type="dxa" w:w="136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病历文字整理</w:t>
            </w:r>
          </w:p>
        </w:tc>
        <w:tc>
          <w:tcPr>
            <w:tcW w:type="dxa" w:w="3005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对医生已输入内容进行格式整理，不新增诊断结论。</w:t>
            </w:r>
          </w:p>
        </w:tc>
        <w:tc>
          <w:tcPr>
            <w:tcW w:type="dxa" w:w="2268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医生确认后才能写入病历；保留原始文本。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FR-AI-03</w:t>
            </w:r>
          </w:p>
        </w:tc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P2</w:t>
            </w:r>
          </w:p>
        </w:tc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流程咨询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回答预约、取消和缴费等平台使用问题。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不得输出诊断、处方或替代就医建议。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FR-AI-04</w:t>
            </w:r>
          </w:p>
        </w:tc>
        <w:tc>
          <w:tcPr>
            <w:tcW w:type="dxa" w:w="850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P2</w:t>
            </w:r>
          </w:p>
        </w:tc>
        <w:tc>
          <w:tcPr>
            <w:tcW w:type="dxa" w:w="136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故障降级</w:t>
            </w:r>
          </w:p>
        </w:tc>
        <w:tc>
          <w:tcPr>
            <w:tcW w:type="dxa" w:w="3005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AI接口失败时返回可理解提示。</w:t>
            </w:r>
          </w:p>
        </w:tc>
        <w:tc>
          <w:tcPr>
            <w:tcW w:type="dxa" w:w="2268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失败不影响预约、接诊、病历和缴费主流程。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 关键用例</w:t>
      </w:r>
    </w:p>
    <w:p>
      <w:pPr>
        <w:pStyle w:val="Heading2"/>
        <w:keepNext/>
      </w:pPr>
      <w:r>
        <w:t>UC-01 患者预约挂号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64"/>
        <w:gridCol w:w="4564"/>
      </w:tblGrid>
      <w:tr>
        <w:trPr>
          <w:tblHeader w:val="true"/>
          <w:cantSplit/>
        </w:trPr>
        <w:tc>
          <w:tcPr>
            <w:tcW w:type="dxa" w:w="1701"/>
            <w:vAlign w:val="center"/>
            <w:shd w:fill="2F559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vAlign w:val="center"/>
            <w:shd w:fill="2F559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前置条件</w:t>
            </w:r>
          </w:p>
        </w:tc>
        <w:tc>
          <w:tcPr>
            <w:tcW w:type="dxa" w:w="7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患者已登录；目标租户和号源处于启用状态。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基本流程</w:t>
            </w:r>
          </w:p>
        </w:tc>
        <w:tc>
          <w:tcPr>
            <w:tcW w:type="dxa" w:w="7200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患者选择机构、科室、医生和日期；系统返回可用号源；患者提交预约；系统以事务方式占用号源并生成预约记录。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异常流程</w:t>
            </w:r>
          </w:p>
        </w:tc>
        <w:tc>
          <w:tcPr>
            <w:tcW w:type="dxa" w:w="7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号源不足、已过期或被并发占用时，系统不创建预约并提示重新选择。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后置条件</w:t>
            </w:r>
          </w:p>
        </w:tc>
        <w:tc>
          <w:tcPr>
            <w:tcW w:type="dxa" w:w="7200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预约状态为已预约，记录患者、医生、号源和tenant_id。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UC-02 患者取消预约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64"/>
        <w:gridCol w:w="4564"/>
      </w:tblGrid>
      <w:tr>
        <w:trPr>
          <w:tblHeader w:val="true"/>
          <w:cantSplit/>
        </w:trPr>
        <w:tc>
          <w:tcPr>
            <w:tcW w:type="dxa" w:w="1701"/>
            <w:vAlign w:val="center"/>
            <w:shd w:fill="2F559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vAlign w:val="center"/>
            <w:shd w:fill="2F559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前置条件</w:t>
            </w:r>
          </w:p>
        </w:tc>
        <w:tc>
          <w:tcPr>
            <w:tcW w:type="dxa" w:w="7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预约属于当前患者，且尚未开始接诊。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基本流程</w:t>
            </w:r>
          </w:p>
        </w:tc>
        <w:tc>
          <w:tcPr>
            <w:tcW w:type="dxa" w:w="7200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患者发起取消；系统校验状态；将预约更新为已取消并释放号源。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异常流程</w:t>
            </w:r>
          </w:p>
        </w:tc>
        <w:tc>
          <w:tcPr>
            <w:tcW w:type="dxa" w:w="7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预约已接诊、已完成或已取消时拒绝操作。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后置条件</w:t>
            </w:r>
          </w:p>
        </w:tc>
        <w:tc>
          <w:tcPr>
            <w:tcW w:type="dxa" w:w="7200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预约不可继续接诊，号源余量正确恢复。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UC-03 医生完成接诊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64"/>
        <w:gridCol w:w="4564"/>
      </w:tblGrid>
      <w:tr>
        <w:trPr>
          <w:tblHeader w:val="true"/>
          <w:cantSplit/>
        </w:trPr>
        <w:tc>
          <w:tcPr>
            <w:tcW w:type="dxa" w:w="1701"/>
            <w:vAlign w:val="center"/>
            <w:shd w:fill="2F559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vAlign w:val="center"/>
            <w:shd w:fill="2F559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前置条件</w:t>
            </w:r>
          </w:p>
        </w:tc>
        <w:tc>
          <w:tcPr>
            <w:tcW w:type="dxa" w:w="7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医生已登录；预约属于本机构并分配给当前医生。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基本流程</w:t>
            </w:r>
          </w:p>
        </w:tc>
        <w:tc>
          <w:tcPr>
            <w:tcW w:type="dxa" w:w="7200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医生开始接诊；查看患者描述和授权文件；填写病历；确认提交；系统完成预约并生成订单。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异常流程</w:t>
            </w:r>
          </w:p>
        </w:tc>
        <w:tc>
          <w:tcPr>
            <w:tcW w:type="dxa" w:w="7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越权访问被拒绝；必填病历缺失时不允许提交；订单生成失败时记录错误并允许安全重试。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后置条件</w:t>
            </w:r>
          </w:p>
        </w:tc>
        <w:tc>
          <w:tcPr>
            <w:tcW w:type="dxa" w:w="7200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病历不可由患者修改，订单与接诊记录一一关联。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UC-04 患者模拟缴费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64"/>
        <w:gridCol w:w="4564"/>
      </w:tblGrid>
      <w:tr>
        <w:trPr>
          <w:tblHeader w:val="true"/>
          <w:cantSplit/>
        </w:trPr>
        <w:tc>
          <w:tcPr>
            <w:tcW w:type="dxa" w:w="1701"/>
            <w:vAlign w:val="center"/>
            <w:shd w:fill="2F559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vAlign w:val="center"/>
            <w:shd w:fill="2F559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前置条件</w:t>
            </w:r>
          </w:p>
        </w:tc>
        <w:tc>
          <w:tcPr>
            <w:tcW w:type="dxa" w:w="7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订单属于当前患者且状态为待支付。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基本流程</w:t>
            </w:r>
          </w:p>
        </w:tc>
        <w:tc>
          <w:tcPr>
            <w:tcW w:type="dxa" w:w="7200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患者确认订单；提交模拟支付；系统以幂等方式更新状态并记录支付时间。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异常流程</w:t>
            </w:r>
          </w:p>
        </w:tc>
        <w:tc>
          <w:tcPr>
            <w:tcW w:type="dxa" w:w="7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重复提交返回同一支付结果；已取消订单不能支付。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后置条件</w:t>
            </w:r>
          </w:p>
        </w:tc>
        <w:tc>
          <w:tcPr>
            <w:tcW w:type="dxa" w:w="7200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订单状态为已支付，历史记录可查询。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UC-05 上传检查资料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64"/>
        <w:gridCol w:w="4564"/>
      </w:tblGrid>
      <w:tr>
        <w:trPr>
          <w:tblHeader w:val="true"/>
          <w:cantSplit/>
        </w:trPr>
        <w:tc>
          <w:tcPr>
            <w:tcW w:type="dxa" w:w="1701"/>
            <w:vAlign w:val="center"/>
            <w:shd w:fill="2F559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vAlign w:val="center"/>
            <w:shd w:fill="2F559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前置条件</w:t>
            </w:r>
          </w:p>
        </w:tc>
        <w:tc>
          <w:tcPr>
            <w:tcW w:type="dxa" w:w="7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患者已登录；预约属于本人且尚未完成接诊。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基本流程</w:t>
            </w:r>
          </w:p>
        </w:tc>
        <w:tc>
          <w:tcPr>
            <w:tcW w:type="dxa" w:w="7200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患者选择允许类型的演示文件；系统校验大小和类型；上传私有对象存储；保存元数据。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异常流程</w:t>
            </w:r>
          </w:p>
        </w:tc>
        <w:tc>
          <w:tcPr>
            <w:tcW w:type="dxa" w:w="7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不支持类型、文件过大或上传失败时不生成有效元数据。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后置条件</w:t>
            </w:r>
          </w:p>
        </w:tc>
        <w:tc>
          <w:tcPr>
            <w:tcW w:type="dxa" w:w="7200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医生仅在接诊授权范围内查看文件。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 业务规则与状态</w:t>
      </w:r>
    </w:p>
    <w:p>
      <w:pPr>
        <w:pStyle w:val="Heading2"/>
        <w:keepNext/>
      </w:pPr>
      <w:r>
        <w:t>7.1 预约规则</w:t>
      </w:r>
    </w:p>
    <w:p>
      <w:pPr>
        <w:pStyle w:val="ListBullet"/>
      </w:pPr>
      <w:r>
        <w:rPr>
          <w:rFonts w:ascii="Arial" w:hAnsi="Arial" w:eastAsia="等线"/>
          <w:color w:val="000000"/>
          <w:sz w:val="21"/>
        </w:rPr>
        <w:t>号源由租户、医生、日期和时段唯一确定，预约数量不得超过容量。</w:t>
      </w:r>
    </w:p>
    <w:p>
      <w:pPr>
        <w:pStyle w:val="ListBullet"/>
      </w:pPr>
      <w:r>
        <w:rPr>
          <w:rFonts w:ascii="Arial" w:hAnsi="Arial" w:eastAsia="等线"/>
          <w:color w:val="000000"/>
          <w:sz w:val="21"/>
        </w:rPr>
        <w:t>患者只能取消本人尚未接诊的预约，取消后释放对应容量。</w:t>
      </w:r>
    </w:p>
    <w:p>
      <w:pPr>
        <w:pStyle w:val="ListBullet"/>
      </w:pPr>
      <w:r>
        <w:rPr>
          <w:rFonts w:ascii="Arial" w:hAnsi="Arial" w:eastAsia="等线"/>
          <w:color w:val="000000"/>
          <w:sz w:val="21"/>
        </w:rPr>
        <w:t>医生只能处理分配给本人的本机构预约。</w:t>
      </w:r>
    </w:p>
    <w:p>
      <w:pPr>
        <w:pStyle w:val="ListBullet"/>
      </w:pPr>
      <w:r>
        <w:rPr>
          <w:rFonts w:ascii="Arial" w:hAnsi="Arial" w:eastAsia="等线"/>
          <w:color w:val="000000"/>
          <w:sz w:val="21"/>
        </w:rPr>
        <w:t>患者不能通过修改请求中的doctor_id或tenant_id访问其他机构资源。</w:t>
      </w:r>
    </w:p>
    <w:p>
      <w:pPr>
        <w:pStyle w:val="ListBullet"/>
      </w:pPr>
      <w:r>
        <w:rPr>
          <w:rFonts w:ascii="Arial" w:hAnsi="Arial" w:eastAsia="等线"/>
          <w:color w:val="000000"/>
          <w:sz w:val="21"/>
        </w:rPr>
        <w:t>同一患者是否允许同一时段重复预约由系统统一配置，课程项目默认禁止。</w:t>
      </w:r>
    </w:p>
    <w:p>
      <w:pPr>
        <w:pStyle w:val="Heading2"/>
        <w:keepNext/>
      </w:pPr>
      <w:r>
        <w:t>7.2 状态定义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rPr>
          <w:tblHeader w:val="true"/>
          <w:cantSplit/>
        </w:trPr>
        <w:tc>
          <w:tcPr>
            <w:tcW w:type="dxa" w:w="1701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2381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819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8"/>
              </w:rPr>
              <w:t>允许的主要转换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预约</w:t>
            </w:r>
          </w:p>
        </w:tc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BOOKED 已预约</w:t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可转为IN_PROGRESS接诊中或CANCELLED已取消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预约</w:t>
            </w:r>
          </w:p>
        </w:tc>
        <w:tc>
          <w:tcPr>
            <w:tcW w:type="dxa" w:w="238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IN_PROGRESS 接诊中</w:t>
            </w:r>
          </w:p>
        </w:tc>
        <w:tc>
          <w:tcPr>
            <w:tcW w:type="dxa" w:w="4819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可转为COMPLETED已完成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预约</w:t>
            </w:r>
          </w:p>
        </w:tc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COMPLETED 已完成</w:t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终态，允许查询和评价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预约</w:t>
            </w:r>
          </w:p>
        </w:tc>
        <w:tc>
          <w:tcPr>
            <w:tcW w:type="dxa" w:w="238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CANCELLED 已取消</w:t>
            </w:r>
          </w:p>
        </w:tc>
        <w:tc>
          <w:tcPr>
            <w:tcW w:type="dxa" w:w="4819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终态，不允许接诊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订单</w:t>
            </w:r>
          </w:p>
        </w:tc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PENDING 待支付</w:t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可转为PAID已支付或CANCELLED已取消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订单</w:t>
            </w:r>
          </w:p>
        </w:tc>
        <w:tc>
          <w:tcPr>
            <w:tcW w:type="dxa" w:w="238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PAID 已支付</w:t>
            </w:r>
          </w:p>
        </w:tc>
        <w:tc>
          <w:tcPr>
            <w:tcW w:type="dxa" w:w="4819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课程项目终态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订单</w:t>
            </w:r>
          </w:p>
        </w:tc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CANCELLED 已取消</w:t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终态，不允许支付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7.3 一致性规则</w:t>
      </w:r>
    </w:p>
    <w:p>
      <w:pPr>
        <w:pStyle w:val="ListBullet"/>
      </w:pPr>
      <w:r>
        <w:rPr>
          <w:rFonts w:ascii="Arial" w:hAnsi="Arial" w:eastAsia="等线"/>
          <w:color w:val="000000"/>
          <w:sz w:val="21"/>
        </w:rPr>
        <w:t>预约创建和号源占用必须在同一事务中完成，避免超卖。</w:t>
      </w:r>
    </w:p>
    <w:p>
      <w:pPr>
        <w:pStyle w:val="ListBullet"/>
      </w:pPr>
      <w:r>
        <w:rPr>
          <w:rFonts w:ascii="Arial" w:hAnsi="Arial" w:eastAsia="等线"/>
          <w:color w:val="000000"/>
          <w:sz w:val="21"/>
        </w:rPr>
        <w:t>病历提交和订单生成应保证可重试；重复请求不能生成重复订单。</w:t>
      </w:r>
    </w:p>
    <w:p>
      <w:pPr>
        <w:pStyle w:val="ListBullet"/>
      </w:pPr>
      <w:r>
        <w:rPr>
          <w:rFonts w:ascii="Arial" w:hAnsi="Arial" w:eastAsia="等线"/>
          <w:color w:val="000000"/>
          <w:sz w:val="21"/>
        </w:rPr>
        <w:t>模拟支付接口必须使用订单号或幂等键防止重复处理。</w:t>
      </w:r>
    </w:p>
    <w:p>
      <w:pPr>
        <w:pStyle w:val="ListBullet"/>
      </w:pPr>
      <w:r>
        <w:rPr>
          <w:rFonts w:ascii="Arial" w:hAnsi="Arial" w:eastAsia="等线"/>
          <w:color w:val="000000"/>
          <w:sz w:val="21"/>
        </w:rPr>
        <w:t>跨模块异常必须返回统一错误码，并记录不含敏感正文的错误日志。</w:t>
      </w:r>
    </w:p>
    <w:p>
      <w:pPr>
        <w:pStyle w:val="Heading1"/>
        <w:keepNext/>
      </w:pPr>
      <w:r>
        <w:t>8 数据需求</w:t>
      </w:r>
    </w:p>
    <w:p>
      <w:pPr>
        <w:pStyle w:val="Heading2"/>
        <w:keepNext/>
      </w:pPr>
      <w:r>
        <w:t>8.1 核心数据实体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rPr>
          <w:tblHeader w:val="true"/>
          <w:cantSplit/>
        </w:trPr>
        <w:tc>
          <w:tcPr>
            <w:tcW w:type="dxa" w:w="1757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实体</w:t>
            </w:r>
          </w:p>
        </w:tc>
        <w:tc>
          <w:tcPr>
            <w:tcW w:type="dxa" w:w="1871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5272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主要字段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tenant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租户</w:t>
            </w:r>
          </w:p>
        </w:tc>
        <w:tc>
          <w:tcPr>
            <w:tcW w:type="dxa" w:w="5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tenant_id、name、status、created_at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user</w:t>
            </w:r>
          </w:p>
        </w:tc>
        <w:tc>
          <w:tcPr>
            <w:tcW w:type="dxa" w:w="187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平台账号</w:t>
            </w:r>
          </w:p>
        </w:tc>
        <w:tc>
          <w:tcPr>
            <w:tcW w:type="dxa" w:w="5272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user_id、username、password_hash、role、status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doctor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医生</w:t>
            </w:r>
          </w:p>
        </w:tc>
        <w:tc>
          <w:tcPr>
            <w:tcW w:type="dxa" w:w="5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doctor_id、tenant_id、user_id、department_id、name、status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department</w:t>
            </w:r>
          </w:p>
        </w:tc>
        <w:tc>
          <w:tcPr>
            <w:tcW w:type="dxa" w:w="187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科室</w:t>
            </w:r>
          </w:p>
        </w:tc>
        <w:tc>
          <w:tcPr>
            <w:tcW w:type="dxa" w:w="5272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department_id、tenant_id、name、status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schedule_slot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排班号源</w:t>
            </w:r>
          </w:p>
        </w:tc>
        <w:tc>
          <w:tcPr>
            <w:tcW w:type="dxa" w:w="5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slot_id、tenant_id、doctor_id、service_date、time_range、capacity、reserved_count、status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appointment</w:t>
            </w:r>
          </w:p>
        </w:tc>
        <w:tc>
          <w:tcPr>
            <w:tcW w:type="dxa" w:w="187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预约</w:t>
            </w:r>
          </w:p>
        </w:tc>
        <w:tc>
          <w:tcPr>
            <w:tcW w:type="dxa" w:w="5272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appointment_id、tenant_id、patient_id、doctor_id、slot_id、status、complaint、created_at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medical_record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电子病历</w:t>
            </w:r>
          </w:p>
        </w:tc>
        <w:tc>
          <w:tcPr>
            <w:tcW w:type="dxa" w:w="5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record_id、tenant_id、appointment_id、doctor_id、patient_id、content、version、submitted_at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order</w:t>
            </w:r>
          </w:p>
        </w:tc>
        <w:tc>
          <w:tcPr>
            <w:tcW w:type="dxa" w:w="187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诊疗订单</w:t>
            </w:r>
          </w:p>
        </w:tc>
        <w:tc>
          <w:tcPr>
            <w:tcW w:type="dxa" w:w="5272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order_id、tenant_id、appointment_id、patient_id、amount、status、paid_at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file_metadata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文件元数据</w:t>
            </w:r>
          </w:p>
        </w:tc>
        <w:tc>
          <w:tcPr>
            <w:tcW w:type="dxa" w:w="5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file_id、tenant_id、patient_id、appointment_id、object_key、file_name、content_type、size、created_at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feedback</w:t>
            </w:r>
          </w:p>
        </w:tc>
        <w:tc>
          <w:tcPr>
            <w:tcW w:type="dxa" w:w="187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患者评价</w:t>
            </w:r>
          </w:p>
        </w:tc>
        <w:tc>
          <w:tcPr>
            <w:tcW w:type="dxa" w:w="5272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feedback_id、tenant_id、appointment_id、patient_id、doctor_id、score、comment、created_at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audit_log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审计记录</w:t>
            </w:r>
          </w:p>
        </w:tc>
        <w:tc>
          <w:tcPr>
            <w:tcW w:type="dxa" w:w="5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log_id、tenant_id、actor_id、action、object_type、object_id、result、created_at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8.2 数据约束</w:t>
      </w:r>
    </w:p>
    <w:p>
      <w:pPr>
        <w:pStyle w:val="ListBullet"/>
      </w:pPr>
      <w:r>
        <w:rPr>
          <w:rFonts w:ascii="Arial" w:hAnsi="Arial" w:eastAsia="等线"/>
          <w:color w:val="000000"/>
          <w:sz w:val="21"/>
        </w:rPr>
        <w:t>租户业务表必须包含tenant_id；跨表关联应校验租户一致。</w:t>
      </w:r>
    </w:p>
    <w:p>
      <w:pPr>
        <w:pStyle w:val="ListBullet"/>
      </w:pPr>
      <w:r>
        <w:rPr>
          <w:rFonts w:ascii="Arial" w:hAnsi="Arial" w:eastAsia="等线"/>
          <w:color w:val="000000"/>
          <w:sz w:val="21"/>
        </w:rPr>
        <w:t>账号密码只保存安全哈希，不保存明文。</w:t>
      </w:r>
    </w:p>
    <w:p>
      <w:pPr>
        <w:pStyle w:val="ListBullet"/>
      </w:pPr>
      <w:r>
        <w:rPr>
          <w:rFonts w:ascii="Arial" w:hAnsi="Arial" w:eastAsia="等线"/>
          <w:color w:val="000000"/>
          <w:sz w:val="21"/>
        </w:rPr>
        <w:t>订单金额使用定点数类型，不使用浮点数。</w:t>
      </w:r>
    </w:p>
    <w:p>
      <w:pPr>
        <w:pStyle w:val="ListBullet"/>
      </w:pPr>
      <w:r>
        <w:rPr>
          <w:rFonts w:ascii="Arial" w:hAnsi="Arial" w:eastAsia="等线"/>
          <w:color w:val="000000"/>
          <w:sz w:val="21"/>
        </w:rPr>
        <w:t>对象存储只保存脱敏演示文件；数据库保存object_key，不保存永久公开URL。</w:t>
      </w:r>
    </w:p>
    <w:p>
      <w:pPr>
        <w:pStyle w:val="ListBullet"/>
      </w:pPr>
      <w:r>
        <w:rPr>
          <w:rFonts w:ascii="Arial" w:hAnsi="Arial" w:eastAsia="等线"/>
          <w:color w:val="000000"/>
          <w:sz w:val="21"/>
        </w:rPr>
        <w:t>病历更正应保留版本或审计记录，不能无痕覆盖。</w:t>
      </w:r>
    </w:p>
    <w:p>
      <w:pPr>
        <w:pStyle w:val="ListBullet"/>
      </w:pPr>
      <w:r>
        <w:rPr>
          <w:rFonts w:ascii="Arial" w:hAnsi="Arial" w:eastAsia="等线"/>
          <w:color w:val="000000"/>
          <w:sz w:val="21"/>
        </w:rPr>
        <w:t>演示数据应在课程结束后按团队约定清理，数据库备份不得包含真实个人医疗信息。</w:t>
      </w:r>
    </w:p>
    <w:p>
      <w:pPr>
        <w:pStyle w:val="Heading1"/>
        <w:keepNext/>
      </w:pPr>
      <w:r>
        <w:t>9 云服务架构与服务组件</w:t>
      </w:r>
    </w:p>
    <w:p>
      <w:pPr>
        <w:pStyle w:val="Heading2"/>
        <w:keepNext/>
      </w:pPr>
      <w:r>
        <w:t>9.1 分层结构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rPr>
          <w:tblHeader w:val="true"/>
          <w:cantSplit/>
        </w:trPr>
        <w:tc>
          <w:tcPr>
            <w:tcW w:type="dxa" w:w="1814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7"/>
              </w:rPr>
              <w:t>层次</w:t>
            </w:r>
          </w:p>
        </w:tc>
        <w:tc>
          <w:tcPr>
            <w:tcW w:type="dxa" w:w="3515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7"/>
              </w:rPr>
              <w:t>项目内容</w:t>
            </w:r>
          </w:p>
        </w:tc>
        <w:tc>
          <w:tcPr>
            <w:tcW w:type="dxa" w:w="3572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7"/>
              </w:rPr>
              <w:t>团队责任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7"/>
              </w:rPr>
              <w:t>客户端</w:t>
            </w:r>
          </w:p>
        </w:tc>
        <w:tc>
          <w:tcPr>
            <w:tcW w:type="dxa" w:w="351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患者端、医生端、医院管理端、平台运营端浏览器界面</w:t>
            </w:r>
          </w:p>
        </w:tc>
        <w:tc>
          <w:tcPr>
            <w:tcW w:type="dxa" w:w="35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实现交互、表单校验和状态展示，不在前端决定最终权限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7"/>
              </w:rPr>
              <w:t>SaaS应用层</w:t>
            </w:r>
          </w:p>
        </w:tc>
        <w:tc>
          <w:tcPr>
            <w:tcW w:type="dxa" w:w="3515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账号、租户、预约、接诊、病历、订单、文件、统计和可选AI功能</w:t>
            </w:r>
          </w:p>
        </w:tc>
        <w:tc>
          <w:tcPr>
            <w:tcW w:type="dxa" w:w="3572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定义业务规则、服务接口和角色权限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7"/>
              </w:rPr>
              <w:t>平台与运行支撑层</w:t>
            </w:r>
          </w:p>
        </w:tc>
        <w:tc>
          <w:tcPr>
            <w:tcW w:type="dxa" w:w="351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Spring Boot、Web容器、Docker、日志、数据库连接池、对象存储SDK、可选AI API</w:t>
            </w:r>
          </w:p>
        </w:tc>
        <w:tc>
          <w:tcPr>
            <w:tcW w:type="dxa" w:w="35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配置运行环境、监控日志和外部服务适配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7"/>
              </w:rPr>
              <w:t>云资源层</w:t>
            </w:r>
          </w:p>
        </w:tc>
        <w:tc>
          <w:tcPr>
            <w:tcW w:type="dxa" w:w="3515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云服务器、网络、安全组、MySQL、对象存储</w:t>
            </w:r>
          </w:p>
        </w:tc>
        <w:tc>
          <w:tcPr>
            <w:tcW w:type="dxa" w:w="3572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完成资源配置、部署、安全访问和备份说明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Arial" w:hAnsi="Arial" w:eastAsia="等线"/>
          <w:color w:val="000000"/>
          <w:sz w:val="21"/>
        </w:rPr>
        <w:t>最终报告应按照任课教师的课程口径说明IaaS、PaaS和SaaS边界，并明确哪些能力由团队自行部署，哪些能力由云服务商托管。不能仅凭软件名称判断其服务层次。</w:t>
      </w:r>
    </w:p>
    <w:p>
      <w:pPr>
        <w:pStyle w:val="Heading2"/>
        <w:keepNext/>
      </w:pPr>
      <w:r>
        <w:t>9.2 业务服务组件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82"/>
        <w:gridCol w:w="2282"/>
        <w:gridCol w:w="2282"/>
        <w:gridCol w:w="2282"/>
      </w:tblGrid>
      <w:tr>
        <w:trPr>
          <w:tblHeader w:val="true"/>
          <w:cantSplit/>
        </w:trPr>
        <w:tc>
          <w:tcPr>
            <w:tcW w:type="dxa" w:w="1814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组件</w:t>
            </w:r>
          </w:p>
        </w:tc>
        <w:tc>
          <w:tcPr>
            <w:tcW w:type="dxa" w:w="2835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2268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核心数据</w:t>
            </w:r>
          </w:p>
        </w:tc>
        <w:tc>
          <w:tcPr>
            <w:tcW w:type="dxa" w:w="1984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依赖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Identity Service</w:t>
            </w:r>
          </w:p>
        </w:tc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登录、身份解析和角色授权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User、Role</w:t>
            </w:r>
          </w:p>
        </w:tc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Tenant、各业务服务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Tenant Service</w:t>
            </w:r>
          </w:p>
        </w:tc>
        <w:tc>
          <w:tcPr>
            <w:tcW w:type="dxa" w:w="2835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租户、科室、医生和状态管理</w:t>
            </w:r>
          </w:p>
        </w:tc>
        <w:tc>
          <w:tcPr>
            <w:tcW w:type="dxa" w:w="2268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Tenant、Department、Doctor</w:t>
            </w:r>
          </w:p>
        </w:tc>
        <w:tc>
          <w:tcPr>
            <w:tcW w:type="dxa" w:w="198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Identity、Appointment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Appointment Service</w:t>
            </w:r>
          </w:p>
        </w:tc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号源查询、预约、取消和状态流转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ScheduleSlot、Appointment</w:t>
            </w:r>
          </w:p>
        </w:tc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Tenant、Consultation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Consultation Service</w:t>
            </w:r>
          </w:p>
        </w:tc>
        <w:tc>
          <w:tcPr>
            <w:tcW w:type="dxa" w:w="2835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接诊、病历提交和历史查询</w:t>
            </w:r>
          </w:p>
        </w:tc>
        <w:tc>
          <w:tcPr>
            <w:tcW w:type="dxa" w:w="2268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MedicalRecord</w:t>
            </w:r>
          </w:p>
        </w:tc>
        <w:tc>
          <w:tcPr>
            <w:tcW w:type="dxa" w:w="198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Appointment、Order、File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Order Service</w:t>
            </w:r>
          </w:p>
        </w:tc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订单生成、模拟支付和查询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Order</w:t>
            </w:r>
          </w:p>
        </w:tc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Consultation、Statistics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File Service</w:t>
            </w:r>
          </w:p>
        </w:tc>
        <w:tc>
          <w:tcPr>
            <w:tcW w:type="dxa" w:w="2835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对象上传、元数据和授权访问</w:t>
            </w:r>
          </w:p>
        </w:tc>
        <w:tc>
          <w:tcPr>
            <w:tcW w:type="dxa" w:w="2268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FileMetadata</w:t>
            </w:r>
          </w:p>
        </w:tc>
        <w:tc>
          <w:tcPr>
            <w:tcW w:type="dxa" w:w="198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Appointment、Object Storage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Statistics Service</w:t>
            </w:r>
          </w:p>
        </w:tc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租户内和跨租户脱敏汇总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统计结果</w:t>
            </w:r>
          </w:p>
        </w:tc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Appointment、Order、Feedback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6"/>
              </w:rPr>
              <w:t>AI Adapter</w:t>
            </w:r>
          </w:p>
        </w:tc>
        <w:tc>
          <w:tcPr>
            <w:tcW w:type="dxa" w:w="2835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可选AI调用、输入过滤和故障降级</w:t>
            </w:r>
          </w:p>
        </w:tc>
        <w:tc>
          <w:tcPr>
            <w:tcW w:type="dxa" w:w="2268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AI request response</w:t>
            </w:r>
          </w:p>
        </w:tc>
        <w:tc>
          <w:tcPr>
            <w:tcW w:type="dxa" w:w="198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6"/>
              </w:rPr>
              <w:t>Consultation、外部AI API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Arial" w:hAnsi="Arial" w:eastAsia="等线"/>
          <w:color w:val="000000"/>
          <w:sz w:val="21"/>
        </w:rPr>
        <w:t>课程项目可以采用模块化单体实现上述组件，但每个组件必须有清晰职责和接口契约。模块名称不能替代SOA设计说明；接口文档应包含端点、请求、响应、权限、错误码和幂等要求。</w:t>
      </w:r>
    </w:p>
    <w:p>
      <w:pPr>
        <w:pStyle w:val="Heading2"/>
        <w:keepNext/>
      </w:pPr>
      <w:r>
        <w:t>9.3 代表性接口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6"/>
        <w:gridCol w:w="1826"/>
        <w:gridCol w:w="1826"/>
        <w:gridCol w:w="1826"/>
        <w:gridCol w:w="1826"/>
      </w:tblGrid>
      <w:tr>
        <w:trPr>
          <w:tblHeader w:val="true"/>
          <w:cantSplit/>
        </w:trPr>
        <w:tc>
          <w:tcPr>
            <w:tcW w:type="dxa" w:w="2721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5"/>
              </w:rPr>
              <w:t>端点</w:t>
            </w:r>
          </w:p>
        </w:tc>
        <w:tc>
          <w:tcPr>
            <w:tcW w:type="dxa" w:w="1417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1474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5"/>
              </w:rPr>
              <w:t>权限</w:t>
            </w:r>
          </w:p>
        </w:tc>
        <w:tc>
          <w:tcPr>
            <w:tcW w:type="dxa" w:w="1814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5"/>
              </w:rPr>
              <w:t>关键输入</w:t>
            </w:r>
          </w:p>
        </w:tc>
        <w:tc>
          <w:tcPr>
            <w:tcW w:type="dxa" w:w="1474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5"/>
              </w:rPr>
              <w:t>输出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5"/>
              </w:rPr>
              <w:t>POST /api/auth/login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5"/>
              </w:rPr>
              <w:t>登录</w:t>
            </w:r>
          </w:p>
        </w:tc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5"/>
              </w:rPr>
              <w:t>公开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5"/>
              </w:rPr>
              <w:t>账号、密码</w:t>
            </w:r>
          </w:p>
        </w:tc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5"/>
              </w:rPr>
              <w:t>身份令牌和角色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5"/>
              </w:rPr>
              <w:t>GET /api/tenants/{id}/slots</w:t>
            </w:r>
          </w:p>
        </w:tc>
        <w:tc>
          <w:tcPr>
            <w:tcW w:type="dxa" w:w="141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5"/>
              </w:rPr>
              <w:t>查询号源</w:t>
            </w:r>
          </w:p>
        </w:tc>
        <w:tc>
          <w:tcPr>
            <w:tcW w:type="dxa" w:w="147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5"/>
              </w:rPr>
              <w:t>患者</w:t>
            </w:r>
          </w:p>
        </w:tc>
        <w:tc>
          <w:tcPr>
            <w:tcW w:type="dxa" w:w="181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5"/>
              </w:rPr>
              <w:t>科室、医生、日期</w:t>
            </w:r>
          </w:p>
        </w:tc>
        <w:tc>
          <w:tcPr>
            <w:tcW w:type="dxa" w:w="147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5"/>
              </w:rPr>
              <w:t>可预约号源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5"/>
              </w:rPr>
              <w:t>POST /api/appointments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5"/>
              </w:rPr>
              <w:t>创建预约</w:t>
            </w:r>
          </w:p>
        </w:tc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5"/>
              </w:rPr>
              <w:t>患者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5"/>
              </w:rPr>
              <w:t>slot_id、病情描述</w:t>
            </w:r>
          </w:p>
        </w:tc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5"/>
              </w:rPr>
              <w:t>预约编号与状态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5"/>
              </w:rPr>
              <w:t>POST /api/appointments/{id}/cancel</w:t>
            </w:r>
          </w:p>
        </w:tc>
        <w:tc>
          <w:tcPr>
            <w:tcW w:type="dxa" w:w="141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5"/>
              </w:rPr>
              <w:t>取消预约</w:t>
            </w:r>
          </w:p>
        </w:tc>
        <w:tc>
          <w:tcPr>
            <w:tcW w:type="dxa" w:w="147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5"/>
              </w:rPr>
              <w:t>患者本人</w:t>
            </w:r>
          </w:p>
        </w:tc>
        <w:tc>
          <w:tcPr>
            <w:tcW w:type="dxa" w:w="181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5"/>
              </w:rPr>
              <w:t>预约编号</w:t>
            </w:r>
          </w:p>
        </w:tc>
        <w:tc>
          <w:tcPr>
            <w:tcW w:type="dxa" w:w="147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5"/>
              </w:rPr>
              <w:t>取消结果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5"/>
              </w:rPr>
              <w:t>POST /api/consultations/{id}/complete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5"/>
              </w:rPr>
              <w:t>完成接诊</w:t>
            </w:r>
          </w:p>
        </w:tc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5"/>
              </w:rPr>
              <w:t>接诊医生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5"/>
              </w:rPr>
              <w:t>病历内容</w:t>
            </w:r>
          </w:p>
        </w:tc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5"/>
              </w:rPr>
              <w:t>病历和订单编号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5"/>
              </w:rPr>
              <w:t>POST /api/orders/{id}/mock-pay</w:t>
            </w:r>
          </w:p>
        </w:tc>
        <w:tc>
          <w:tcPr>
            <w:tcW w:type="dxa" w:w="141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5"/>
              </w:rPr>
              <w:t>模拟缴费</w:t>
            </w:r>
          </w:p>
        </w:tc>
        <w:tc>
          <w:tcPr>
            <w:tcW w:type="dxa" w:w="147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5"/>
              </w:rPr>
              <w:t>患者本人</w:t>
            </w:r>
          </w:p>
        </w:tc>
        <w:tc>
          <w:tcPr>
            <w:tcW w:type="dxa" w:w="181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5"/>
              </w:rPr>
              <w:t>订单编号、幂等键</w:t>
            </w:r>
          </w:p>
        </w:tc>
        <w:tc>
          <w:tcPr>
            <w:tcW w:type="dxa" w:w="147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5"/>
              </w:rPr>
              <w:t>支付状态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5"/>
              </w:rPr>
              <w:t>POST /api/files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5"/>
              </w:rPr>
              <w:t>上传文件</w:t>
            </w:r>
          </w:p>
        </w:tc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5"/>
              </w:rPr>
              <w:t>患者本人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5"/>
              </w:rPr>
              <w:t>预约编号、文件</w:t>
            </w:r>
          </w:p>
        </w:tc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5"/>
              </w:rPr>
              <w:t>文件元数据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5"/>
              </w:rPr>
              <w:t>GET /api/admin/statistics</w:t>
            </w:r>
          </w:p>
        </w:tc>
        <w:tc>
          <w:tcPr>
            <w:tcW w:type="dxa" w:w="141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5"/>
              </w:rPr>
              <w:t>查看统计</w:t>
            </w:r>
          </w:p>
        </w:tc>
        <w:tc>
          <w:tcPr>
            <w:tcW w:type="dxa" w:w="147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5"/>
              </w:rPr>
              <w:t>管理员</w:t>
            </w:r>
          </w:p>
        </w:tc>
        <w:tc>
          <w:tcPr>
            <w:tcW w:type="dxa" w:w="181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5"/>
              </w:rPr>
              <w:t>租户和时间范围</w:t>
            </w:r>
          </w:p>
        </w:tc>
        <w:tc>
          <w:tcPr>
            <w:tcW w:type="dxa" w:w="147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5"/>
              </w:rPr>
              <w:t>脱敏汇总数据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 安全与隐私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64"/>
        <w:gridCol w:w="4564"/>
      </w:tblGrid>
      <w:tr>
        <w:trPr>
          <w:tblHeader w:val="true"/>
          <w:cantSplit/>
        </w:trPr>
        <w:tc>
          <w:tcPr>
            <w:tcW w:type="dxa" w:w="1814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8"/>
              </w:rPr>
              <w:t>控制项</w:t>
            </w:r>
          </w:p>
        </w:tc>
        <w:tc>
          <w:tcPr>
            <w:tcW w:type="dxa" w:w="7087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身份认证</w:t>
            </w:r>
          </w:p>
        </w:tc>
        <w:tc>
          <w:tcPr>
            <w:tcW w:type="dxa" w:w="70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受保护接口必须校验有效身份；令牌过期后要求重新登录。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最小权限</w:t>
            </w:r>
          </w:p>
        </w:tc>
        <w:tc>
          <w:tcPr>
            <w:tcW w:type="dxa" w:w="708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患者、医生、医院管理员和平台管理员只获得完成职责所需的权限。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租户隔离</w:t>
            </w:r>
          </w:p>
        </w:tc>
        <w:tc>
          <w:tcPr>
            <w:tcW w:type="dxa" w:w="70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后端从身份上下文取得租户，统一执行查询过滤、归属校验和越权测试。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传输安全</w:t>
            </w:r>
          </w:p>
        </w:tc>
        <w:tc>
          <w:tcPr>
            <w:tcW w:type="dxa" w:w="708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部署环境使用HTTPS；课程演示如受环境限制，应在报告中明确当前验证范围。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存储安全</w:t>
            </w:r>
          </w:p>
        </w:tc>
        <w:tc>
          <w:tcPr>
            <w:tcW w:type="dxa" w:w="70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密码使用安全哈希；对象存储设为私有；敏感字段不写入普通应用日志。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审计</w:t>
            </w:r>
          </w:p>
        </w:tc>
        <w:tc>
          <w:tcPr>
            <w:tcW w:type="dxa" w:w="708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记录病历提交、更正、支付状态变化和管理操作，审计记录只允许授权人员查看。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演示数据</w:t>
            </w:r>
          </w:p>
        </w:tc>
        <w:tc>
          <w:tcPr>
            <w:tcW w:type="dxa" w:w="70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只使用虚构或脱敏信息，不上传真实身份证、真实病历和真实医学影像。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AI边界</w:t>
            </w:r>
          </w:p>
        </w:tc>
        <w:tc>
          <w:tcPr>
            <w:tcW w:type="dxa" w:w="708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不向公共模型发送可识别个人的信息，AI结果须人工确认，不输出自动诊断和处方。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 非功能需求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rPr>
          <w:tblHeader w:val="true"/>
          <w:cantSplit/>
        </w:trPr>
        <w:tc>
          <w:tcPr>
            <w:tcW w:type="dxa" w:w="1361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417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6123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7"/>
              </w:rPr>
              <w:t>可验收要求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7"/>
              </w:rPr>
              <w:t>NFR-01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性能</w:t>
            </w:r>
          </w:p>
        </w:tc>
        <w:tc>
          <w:tcPr>
            <w:tcW w:type="dxa" w:w="612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在课程测试环境中，50个并发用户查询号源时，95%的请求应在2秒内返回，且不得出现号源超卖。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7"/>
              </w:rPr>
              <w:t>NFR-02</w:t>
            </w:r>
          </w:p>
        </w:tc>
        <w:tc>
          <w:tcPr>
            <w:tcW w:type="dxa" w:w="141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可靠性</w:t>
            </w:r>
          </w:p>
        </w:tc>
        <w:tc>
          <w:tcPr>
            <w:tcW w:type="dxa" w:w="6123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预约、病历提交和模拟支付使用事务或幂等机制；重复请求不产生重复记录。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7"/>
              </w:rPr>
              <w:t>NFR-03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安全性</w:t>
            </w:r>
          </w:p>
        </w:tc>
        <w:tc>
          <w:tcPr>
            <w:tcW w:type="dxa" w:w="612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越权访问测试覆盖四类角色和两个租户；测试结果中不得出现跨租户业务数据泄露。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7"/>
              </w:rPr>
              <w:t>NFR-04</w:t>
            </w:r>
          </w:p>
        </w:tc>
        <w:tc>
          <w:tcPr>
            <w:tcW w:type="dxa" w:w="141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文件限制</w:t>
            </w:r>
          </w:p>
        </w:tc>
        <w:tc>
          <w:tcPr>
            <w:tcW w:type="dxa" w:w="6123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单个文件默认不超过10 MB，只允许JPG、PNG和PDF；限制值可配置。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7"/>
              </w:rPr>
              <w:t>NFR-05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可用性</w:t>
            </w:r>
          </w:p>
        </w:tc>
        <w:tc>
          <w:tcPr>
            <w:tcW w:type="dxa" w:w="612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课程阶段完成单实例云端部署与基本可用性验证，不宣称生产级7×24高可用。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7"/>
              </w:rPr>
              <w:t>NFR-06</w:t>
            </w:r>
          </w:p>
        </w:tc>
        <w:tc>
          <w:tcPr>
            <w:tcW w:type="dxa" w:w="141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兼容性</w:t>
            </w:r>
          </w:p>
        </w:tc>
        <w:tc>
          <w:tcPr>
            <w:tcW w:type="dxa" w:w="6123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面向最新版Chrome和Edge完成主要流程测试；页面在常见笔记本分辨率下可正常操作。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7"/>
              </w:rPr>
              <w:t>NFR-07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可维护性</w:t>
            </w:r>
          </w:p>
        </w:tc>
        <w:tc>
          <w:tcPr>
            <w:tcW w:type="dxa" w:w="612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模块遵守统一命名、错误码和日志规范；主要接口具备OpenAPI说明。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7"/>
              </w:rPr>
              <w:t>NFR-08</w:t>
            </w:r>
          </w:p>
        </w:tc>
        <w:tc>
          <w:tcPr>
            <w:tcW w:type="dxa" w:w="141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可观测性</w:t>
            </w:r>
          </w:p>
        </w:tc>
        <w:tc>
          <w:tcPr>
            <w:tcW w:type="dxa" w:w="6123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应用记录启动、错误和关键业务事件日志，并可按请求标识定位失败链路。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7"/>
              </w:rPr>
              <w:t>NFR-09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可恢复性</w:t>
            </w:r>
          </w:p>
        </w:tc>
        <w:tc>
          <w:tcPr>
            <w:tcW w:type="dxa" w:w="612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数据库定期导出演示备份；恢复步骤记录在部署文档中并至少验证一次。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 部署与运行环境</w:t>
      </w:r>
    </w:p>
    <w:p>
      <w:pPr>
        <w:pStyle w:val="Heading2"/>
        <w:keepNext/>
      </w:pPr>
      <w:r>
        <w:t>12.1 推荐技术方案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rPr>
          <w:tblHeader w:val="true"/>
          <w:cantSplit/>
        </w:trPr>
        <w:tc>
          <w:tcPr>
            <w:tcW w:type="dxa" w:w="1701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8"/>
              </w:rPr>
              <w:t>部分</w:t>
            </w:r>
          </w:p>
        </w:tc>
        <w:tc>
          <w:tcPr>
            <w:tcW w:type="dxa" w:w="2665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8"/>
              </w:rPr>
              <w:t>建议方案</w:t>
            </w:r>
          </w:p>
        </w:tc>
        <w:tc>
          <w:tcPr>
            <w:tcW w:type="dxa" w:w="4535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前端</w:t>
            </w:r>
          </w:p>
        </w:tc>
        <w:tc>
          <w:tcPr>
            <w:tcW w:type="dxa" w:w="266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Vue</w:t>
            </w:r>
          </w:p>
        </w:tc>
        <w:tc>
          <w:tcPr>
            <w:tcW w:type="dxa" w:w="45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实现四类角色的浏览器界面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后端</w:t>
            </w:r>
          </w:p>
        </w:tc>
        <w:tc>
          <w:tcPr>
            <w:tcW w:type="dxa" w:w="2665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Spring Boot</w:t>
            </w:r>
          </w:p>
        </w:tc>
        <w:tc>
          <w:tcPr>
            <w:tcW w:type="dxa" w:w="4535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采用模块化单体，按服务组件划分包和接口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数据库</w:t>
            </w:r>
          </w:p>
        </w:tc>
        <w:tc>
          <w:tcPr>
            <w:tcW w:type="dxa" w:w="266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MySQL</w:t>
            </w:r>
          </w:p>
        </w:tc>
        <w:tc>
          <w:tcPr>
            <w:tcW w:type="dxa" w:w="45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保存账号、租户和业务结构化数据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对象存储</w:t>
            </w:r>
          </w:p>
        </w:tc>
        <w:tc>
          <w:tcPr>
            <w:tcW w:type="dxa" w:w="2665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MinIO或云厂商OSS</w:t>
            </w:r>
          </w:p>
        </w:tc>
        <w:tc>
          <w:tcPr>
            <w:tcW w:type="dxa" w:w="4535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私有桶保存演示检查资料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部署</w:t>
            </w:r>
          </w:p>
        </w:tc>
        <w:tc>
          <w:tcPr>
            <w:tcW w:type="dxa" w:w="266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Docker Compose与云服务器</w:t>
            </w:r>
          </w:p>
        </w:tc>
        <w:tc>
          <w:tcPr>
            <w:tcW w:type="dxa" w:w="45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提供可重复部署步骤；Nginx按需作为反向代理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接口文档</w:t>
            </w:r>
          </w:p>
        </w:tc>
        <w:tc>
          <w:tcPr>
            <w:tcW w:type="dxa" w:w="2665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OpenAPI</w:t>
            </w:r>
          </w:p>
        </w:tc>
        <w:tc>
          <w:tcPr>
            <w:tcW w:type="dxa" w:w="4535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记录请求、响应、权限和错误码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8"/>
              </w:rPr>
              <w:t>测试</w:t>
            </w:r>
          </w:p>
        </w:tc>
        <w:tc>
          <w:tcPr>
            <w:tcW w:type="dxa" w:w="266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JUnit与接口测试工具</w:t>
            </w:r>
          </w:p>
        </w:tc>
        <w:tc>
          <w:tcPr>
            <w:tcW w:type="dxa" w:w="45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8"/>
              </w:rPr>
              <w:t>覆盖业务规则、租户隔离和核心闭环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12.2 部署要求</w:t>
      </w:r>
    </w:p>
    <w:p>
      <w:pPr>
        <w:pStyle w:val="ListBullet"/>
      </w:pPr>
      <w:r>
        <w:rPr>
          <w:rFonts w:ascii="Arial" w:hAnsi="Arial" w:eastAsia="等线"/>
          <w:color w:val="000000"/>
          <w:sz w:val="21"/>
        </w:rPr>
        <w:t>通过配置文件或环境变量提供数据库、对象存储和AI接口参数，敏感凭据不得提交到代码仓库。</w:t>
      </w:r>
    </w:p>
    <w:p>
      <w:pPr>
        <w:pStyle w:val="ListBullet"/>
      </w:pPr>
      <w:r>
        <w:rPr>
          <w:rFonts w:ascii="Arial" w:hAnsi="Arial" w:eastAsia="等线"/>
          <w:color w:val="000000"/>
          <w:sz w:val="21"/>
        </w:rPr>
        <w:t>开发、测试和演示环境使用不同配置；数据库初始化脚本应可重复执行。</w:t>
      </w:r>
    </w:p>
    <w:p>
      <w:pPr>
        <w:pStyle w:val="ListBullet"/>
      </w:pPr>
      <w:r>
        <w:rPr>
          <w:rFonts w:ascii="Arial" w:hAnsi="Arial" w:eastAsia="等线"/>
          <w:color w:val="000000"/>
          <w:sz w:val="21"/>
        </w:rPr>
        <w:t>部署文档应说明启动顺序、端口、健康检查、日志位置、备份和恢复方法。</w:t>
      </w:r>
    </w:p>
    <w:p>
      <w:pPr>
        <w:pStyle w:val="ListBullet"/>
      </w:pPr>
      <w:r>
        <w:rPr>
          <w:rFonts w:ascii="Arial" w:hAnsi="Arial" w:eastAsia="等线"/>
          <w:color w:val="000000"/>
          <w:sz w:val="21"/>
        </w:rPr>
        <w:t>演示前准备本地或单机备用方案，避免云网络故障导致无法汇报。</w:t>
      </w:r>
    </w:p>
    <w:p>
      <w:pPr>
        <w:pStyle w:val="Heading1"/>
        <w:keepNext/>
      </w:pPr>
      <w:r>
        <w:t>13 验收与测试</w:t>
      </w:r>
    </w:p>
    <w:p>
      <w:pPr>
        <w:pStyle w:val="Heading2"/>
        <w:keepNext/>
      </w:pPr>
      <w:r>
        <w:t>13.1 验收场景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82"/>
        <w:gridCol w:w="2282"/>
        <w:gridCol w:w="2282"/>
        <w:gridCol w:w="2282"/>
      </w:tblGrid>
      <w:tr>
        <w:trPr>
          <w:tblHeader w:val="true"/>
          <w:cantSplit/>
        </w:trPr>
        <w:tc>
          <w:tcPr>
            <w:tcW w:type="dxa" w:w="1247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814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7"/>
              </w:rPr>
              <w:t>测试主题</w:t>
            </w:r>
          </w:p>
        </w:tc>
        <w:tc>
          <w:tcPr>
            <w:tcW w:type="dxa" w:w="5102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7"/>
              </w:rPr>
              <w:t>通过条件</w:t>
            </w:r>
          </w:p>
        </w:tc>
        <w:tc>
          <w:tcPr>
            <w:tcW w:type="dxa" w:w="737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7"/>
              </w:rPr>
              <w:t>级别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7"/>
              </w:rPr>
              <w:t>AT-01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核心闭环</w:t>
            </w:r>
          </w:p>
        </w:tc>
        <w:tc>
          <w:tcPr>
            <w:tcW w:type="dxa" w:w="51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患者预约成功，医生完成接诊，系统生成订单，患者模拟支付成功，双方可查询记录。</w:t>
            </w:r>
          </w:p>
        </w:tc>
        <w:tc>
          <w:tcPr>
            <w:tcW w:type="dxa" w:w="7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7"/>
              </w:rPr>
              <w:t>AT-02</w:t>
            </w:r>
          </w:p>
        </w:tc>
        <w:tc>
          <w:tcPr>
            <w:tcW w:type="dxa" w:w="181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预约并发</w:t>
            </w:r>
          </w:p>
        </w:tc>
        <w:tc>
          <w:tcPr>
            <w:tcW w:type="dxa" w:w="5102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并发争抢最后一个号源时，成功预约数不超过剩余容量。</w:t>
            </w:r>
          </w:p>
        </w:tc>
        <w:tc>
          <w:tcPr>
            <w:tcW w:type="dxa" w:w="73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7"/>
              </w:rPr>
              <w:t>AT-03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角色权限</w:t>
            </w:r>
          </w:p>
        </w:tc>
        <w:tc>
          <w:tcPr>
            <w:tcW w:type="dxa" w:w="51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患者不能提交病历，医生不能管理科室，医院管理员不能读取其他租户明细。</w:t>
            </w:r>
          </w:p>
        </w:tc>
        <w:tc>
          <w:tcPr>
            <w:tcW w:type="dxa" w:w="7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7"/>
              </w:rPr>
              <w:t>AT-04</w:t>
            </w:r>
          </w:p>
        </w:tc>
        <w:tc>
          <w:tcPr>
            <w:tcW w:type="dxa" w:w="181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租户隔离</w:t>
            </w:r>
          </w:p>
        </w:tc>
        <w:tc>
          <w:tcPr>
            <w:tcW w:type="dxa" w:w="5102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租户A医生、管理员和构造请求均不能访问租户B业务数据。</w:t>
            </w:r>
          </w:p>
        </w:tc>
        <w:tc>
          <w:tcPr>
            <w:tcW w:type="dxa" w:w="73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7"/>
              </w:rPr>
              <w:t>AT-05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支付幂等</w:t>
            </w:r>
          </w:p>
        </w:tc>
        <w:tc>
          <w:tcPr>
            <w:tcW w:type="dxa" w:w="51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对同一订单重复提交模拟支付，系统保持一笔订单和一次有效状态变化。</w:t>
            </w:r>
          </w:p>
        </w:tc>
        <w:tc>
          <w:tcPr>
            <w:tcW w:type="dxa" w:w="7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7"/>
              </w:rPr>
              <w:t>AT-06</w:t>
            </w:r>
          </w:p>
        </w:tc>
        <w:tc>
          <w:tcPr>
            <w:tcW w:type="dxa" w:w="181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文件授权</w:t>
            </w:r>
          </w:p>
        </w:tc>
        <w:tc>
          <w:tcPr>
            <w:tcW w:type="dxa" w:w="5102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无权限账号无法访问私有文件；授权账号获得短期访问地址。</w:t>
            </w:r>
          </w:p>
        </w:tc>
        <w:tc>
          <w:tcPr>
            <w:tcW w:type="dxa" w:w="73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7"/>
              </w:rPr>
              <w:t>AT-07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统计口径</w:t>
            </w:r>
          </w:p>
        </w:tc>
        <w:tc>
          <w:tcPr>
            <w:tcW w:type="dxa" w:w="51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本机构统计与数据库记录一致，平台汇总不显示患者病情正文。</w:t>
            </w:r>
          </w:p>
        </w:tc>
        <w:tc>
          <w:tcPr>
            <w:tcW w:type="dxa" w:w="7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7"/>
              </w:rPr>
              <w:t>AT-08</w:t>
            </w:r>
          </w:p>
        </w:tc>
        <w:tc>
          <w:tcPr>
            <w:tcW w:type="dxa" w:w="181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AI降级</w:t>
            </w:r>
          </w:p>
        </w:tc>
        <w:tc>
          <w:tcPr>
            <w:tcW w:type="dxa" w:w="5102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AI服务不可用时，用户仍能手工填写病情和病历并完成核心流程。</w:t>
            </w:r>
          </w:p>
        </w:tc>
        <w:tc>
          <w:tcPr>
            <w:tcW w:type="dxa" w:w="73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7"/>
              </w:rPr>
              <w:t>AT-09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部署复现</w:t>
            </w:r>
          </w:p>
        </w:tc>
        <w:tc>
          <w:tcPr>
            <w:tcW w:type="dxa" w:w="51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新环境按照部署文档可启动应用并完成健康检查。</w:t>
            </w:r>
          </w:p>
        </w:tc>
        <w:tc>
          <w:tcPr>
            <w:tcW w:type="dxa" w:w="7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P0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13.2 交付物</w:t>
      </w:r>
    </w:p>
    <w:p>
      <w:pPr>
        <w:pStyle w:val="ListBullet"/>
      </w:pPr>
      <w:r>
        <w:rPr>
          <w:rFonts w:ascii="Arial" w:hAnsi="Arial" w:eastAsia="等线"/>
          <w:color w:val="000000"/>
          <w:sz w:val="21"/>
        </w:rPr>
        <w:t>需求分析说明书、系统设计说明书和部署运行说明。</w:t>
      </w:r>
    </w:p>
    <w:p>
      <w:pPr>
        <w:pStyle w:val="ListBullet"/>
      </w:pPr>
      <w:r>
        <w:rPr>
          <w:rFonts w:ascii="Arial" w:hAnsi="Arial" w:eastAsia="等线"/>
          <w:color w:val="000000"/>
          <w:sz w:val="21"/>
        </w:rPr>
        <w:t>用例图、组件图、部署图、关键时序图和数据模型。</w:t>
      </w:r>
    </w:p>
    <w:p>
      <w:pPr>
        <w:pStyle w:val="ListBullet"/>
      </w:pPr>
      <w:r>
        <w:rPr>
          <w:rFonts w:ascii="Arial" w:hAnsi="Arial" w:eastAsia="等线"/>
          <w:color w:val="000000"/>
          <w:sz w:val="21"/>
        </w:rPr>
        <w:t>前后端源代码、数据库初始化脚本、接口文档和版本记录。</w:t>
      </w:r>
    </w:p>
    <w:p>
      <w:pPr>
        <w:pStyle w:val="ListBullet"/>
      </w:pPr>
      <w:r>
        <w:rPr>
          <w:rFonts w:ascii="Arial" w:hAnsi="Arial" w:eastAsia="等线"/>
          <w:color w:val="000000"/>
          <w:sz w:val="21"/>
        </w:rPr>
        <w:t>测试用例、测试结果、性能与租户隔离验证记录。</w:t>
      </w:r>
    </w:p>
    <w:p>
      <w:pPr>
        <w:pStyle w:val="ListBullet"/>
      </w:pPr>
      <w:r>
        <w:rPr>
          <w:rFonts w:ascii="Arial" w:hAnsi="Arial" w:eastAsia="等线"/>
          <w:color w:val="000000"/>
          <w:sz w:val="21"/>
        </w:rPr>
        <w:t>演示数据、演示脚本、汇报PPT和成员个人成果说明。</w:t>
      </w:r>
    </w:p>
    <w:p>
      <w:pPr>
        <w:pStyle w:val="Heading1"/>
        <w:keepNext/>
      </w:pPr>
      <w:r>
        <w:t>14 项目迭代计划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rPr>
          <w:tblHeader w:val="true"/>
          <w:cantSplit/>
        </w:trPr>
        <w:tc>
          <w:tcPr>
            <w:tcW w:type="dxa" w:w="2438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1701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4762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7"/>
              </w:rPr>
              <w:t>完成条件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7"/>
              </w:rPr>
              <w:t>2026年9月11日至9月18日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范围冻结</w:t>
            </w:r>
          </w:p>
        </w:tc>
        <w:tc>
          <w:tcPr>
            <w:tcW w:type="dxa" w:w="476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确认角色、P0需求、数据库核心实体、团队分工和开发规范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7"/>
              </w:rPr>
              <w:t>2026年9月19日至10月15日</w:t>
            </w:r>
          </w:p>
        </w:tc>
        <w:tc>
          <w:tcPr>
            <w:tcW w:type="dxa" w:w="170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基础骨架</w:t>
            </w:r>
          </w:p>
        </w:tc>
        <w:tc>
          <w:tcPr>
            <w:tcW w:type="dxa" w:w="4762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完成仓库、登录、RBAC、租户、科室医生和基础部署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7"/>
              </w:rPr>
              <w:t>2026年10月16日至11月12日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核心业务</w:t>
            </w:r>
          </w:p>
        </w:tc>
        <w:tc>
          <w:tcPr>
            <w:tcW w:type="dxa" w:w="476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打通号源、预约、医生工作台、接诊、病历和订单接口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7"/>
              </w:rPr>
              <w:t>2026年11月13日至12月3日</w:t>
            </w:r>
          </w:p>
        </w:tc>
        <w:tc>
          <w:tcPr>
            <w:tcW w:type="dxa" w:w="170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前后端联调</w:t>
            </w:r>
          </w:p>
        </w:tc>
        <w:tc>
          <w:tcPr>
            <w:tcW w:type="dxa" w:w="4762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完成模拟支付、历史查询、多租户隔离测试和核心页面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7"/>
              </w:rPr>
              <w:t>2026年12月4日至12月10日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重点扩展</w:t>
            </w:r>
          </w:p>
        </w:tc>
        <w:tc>
          <w:tcPr>
            <w:tcW w:type="dxa" w:w="476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完成对象存储、基础统计、日志和必要的性能测试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7"/>
              </w:rPr>
              <w:t>2026年12月11日至12月17日</w:t>
            </w:r>
          </w:p>
        </w:tc>
        <w:tc>
          <w:tcPr>
            <w:tcW w:type="dxa" w:w="170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系统冻结</w:t>
            </w:r>
          </w:p>
        </w:tc>
        <w:tc>
          <w:tcPr>
            <w:tcW w:type="dxa" w:w="4762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停止新增P0功能，集中修复缺陷，完成文档和汇报初稿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7"/>
              </w:rPr>
              <w:t>2026年12月18日至12月24日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交付演练</w:t>
            </w:r>
          </w:p>
        </w:tc>
        <w:tc>
          <w:tcPr>
            <w:tcW w:type="dxa" w:w="476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完成全流程演示、备用环境、最终报告和个人成果材料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Arial" w:hAnsi="Arial" w:eastAsia="等线"/>
          <w:color w:val="000000"/>
          <w:sz w:val="21"/>
        </w:rPr>
        <w:t>如果核心闭环未在11月12日前跑通，团队应暂停P1和P2开发，将对象存储、统计和AI人员转入核心联调与测试。12月11日后原则上不再新增功能。</w:t>
      </w:r>
    </w:p>
    <w:p>
      <w:pPr>
        <w:pStyle w:val="Heading1"/>
        <w:keepNext/>
      </w:pPr>
      <w:r>
        <w:t>15 团队分工与个人成果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rPr>
          <w:tblHeader w:val="true"/>
          <w:cantSplit/>
        </w:trPr>
        <w:tc>
          <w:tcPr>
            <w:tcW w:type="dxa" w:w="1814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7"/>
              </w:rPr>
              <w:t>工作包</w:t>
            </w:r>
          </w:p>
        </w:tc>
        <w:tc>
          <w:tcPr>
            <w:tcW w:type="dxa" w:w="3402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7"/>
              </w:rPr>
              <w:t>主要责任</w:t>
            </w:r>
          </w:p>
        </w:tc>
        <w:tc>
          <w:tcPr>
            <w:tcW w:type="dxa" w:w="3685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7"/>
              </w:rPr>
              <w:t>可证明成果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7"/>
              </w:rPr>
              <w:t>架构与云部署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总体架构、公共配置、部署、日志和环境复现</w:t>
            </w:r>
          </w:p>
        </w:tc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部署图、配置说明、运行脚本、日志验证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7"/>
              </w:rPr>
              <w:t>身份与多租户</w:t>
            </w:r>
          </w:p>
        </w:tc>
        <w:tc>
          <w:tcPr>
            <w:tcW w:type="dxa" w:w="3402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登录、RBAC、租户、科室医生和隔离机制</w:t>
            </w:r>
          </w:p>
        </w:tc>
        <w:tc>
          <w:tcPr>
            <w:tcW w:type="dxa" w:w="3685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权限模型、接口、隔离测试、代码提交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7"/>
              </w:rPr>
              <w:t>患者预约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号源查询、预约、取消和患者历史</w:t>
            </w:r>
          </w:p>
        </w:tc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用例、接口、页面、并发测试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7"/>
              </w:rPr>
              <w:t>医生诊疗</w:t>
            </w:r>
          </w:p>
        </w:tc>
        <w:tc>
          <w:tcPr>
            <w:tcW w:type="dxa" w:w="3402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医生工作台、接诊、病历和更正审计</w:t>
            </w:r>
          </w:p>
        </w:tc>
        <w:tc>
          <w:tcPr>
            <w:tcW w:type="dxa" w:w="3685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时序图、接口、页面、业务测试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7"/>
              </w:rPr>
              <w:t>订单与统计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订单、模拟支付、医院统计和平台汇总</w:t>
            </w:r>
          </w:p>
        </w:tc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状态设计、接口、图表、幂等测试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7"/>
              </w:rPr>
              <w:t>文件与质量</w:t>
            </w:r>
          </w:p>
        </w:tc>
        <w:tc>
          <w:tcPr>
            <w:tcW w:type="dxa" w:w="3402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对象存储、文件授权、系统测试和演示集成</w:t>
            </w:r>
          </w:p>
        </w:tc>
        <w:tc>
          <w:tcPr>
            <w:tcW w:type="dxa" w:w="3685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文件接口、安全测试、回归记录、演示脚本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Arial" w:hAnsi="Arial" w:eastAsia="等线"/>
          <w:color w:val="000000"/>
          <w:sz w:val="21"/>
        </w:rPr>
        <w:t>团队可根据10至11名成员将每个工作包分配给1至2人。每名成员都必须拥有可运行的功能或基础设施成果，并提交对应设计、代码、测试和讲解材料。测试与文档属于所有成员的共同责任，不能由单一成员代替其他成员完成个人成果证明。</w:t>
      </w:r>
    </w:p>
    <w:p>
      <w:pPr>
        <w:pStyle w:val="Heading1"/>
        <w:keepNext/>
      </w:pPr>
      <w:r>
        <w:t>16 项目风险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82"/>
        <w:gridCol w:w="2282"/>
        <w:gridCol w:w="2282"/>
        <w:gridCol w:w="2282"/>
      </w:tblGrid>
      <w:tr>
        <w:trPr>
          <w:tblHeader w:val="true"/>
          <w:cantSplit/>
        </w:trPr>
        <w:tc>
          <w:tcPr>
            <w:tcW w:type="dxa" w:w="1134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381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907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4535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7"/>
              </w:rPr>
              <w:t>应对措施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7"/>
              </w:rPr>
              <w:t>R-01</w:t>
            </w:r>
          </w:p>
        </w:tc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功能范围持续扩大</w:t>
            </w:r>
          </w:p>
        </w:tc>
        <w:tc>
          <w:tcPr>
            <w:tcW w:type="dxa" w:w="9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高</w:t>
            </w:r>
          </w:p>
        </w:tc>
        <w:tc>
          <w:tcPr>
            <w:tcW w:type="dxa" w:w="45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冻结P0；新增需求只能进入P1或P2；12月11日后停止新增功能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7"/>
              </w:rPr>
              <w:t>R-02</w:t>
            </w:r>
          </w:p>
        </w:tc>
        <w:tc>
          <w:tcPr>
            <w:tcW w:type="dxa" w:w="238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多人接口不一致</w:t>
            </w:r>
          </w:p>
        </w:tc>
        <w:tc>
          <w:tcPr>
            <w:tcW w:type="dxa" w:w="90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高</w:t>
            </w:r>
          </w:p>
        </w:tc>
        <w:tc>
          <w:tcPr>
            <w:tcW w:type="dxa" w:w="4535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先定义数据模型、OpenAPI和错误码；合并前完成接口测试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7"/>
              </w:rPr>
              <w:t>R-03</w:t>
            </w:r>
          </w:p>
        </w:tc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租户越权</w:t>
            </w:r>
          </w:p>
        </w:tc>
        <w:tc>
          <w:tcPr>
            <w:tcW w:type="dxa" w:w="9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高</w:t>
            </w:r>
          </w:p>
        </w:tc>
        <w:tc>
          <w:tcPr>
            <w:tcW w:type="dxa" w:w="45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统一租户上下文和数据访问规则；建立A/B租户负向测试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7"/>
              </w:rPr>
              <w:t>R-04</w:t>
            </w:r>
          </w:p>
        </w:tc>
        <w:tc>
          <w:tcPr>
            <w:tcW w:type="dxa" w:w="238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预约号源超卖</w:t>
            </w:r>
          </w:p>
        </w:tc>
        <w:tc>
          <w:tcPr>
            <w:tcW w:type="dxa" w:w="90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高</w:t>
            </w:r>
          </w:p>
        </w:tc>
        <w:tc>
          <w:tcPr>
            <w:tcW w:type="dxa" w:w="4535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使用数据库约束、事务和并发测试验证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7"/>
              </w:rPr>
              <w:t>R-05</w:t>
            </w:r>
          </w:p>
        </w:tc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云资源或网络故障</w:t>
            </w:r>
          </w:p>
        </w:tc>
        <w:tc>
          <w:tcPr>
            <w:tcW w:type="dxa" w:w="9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中</w:t>
            </w:r>
          </w:p>
        </w:tc>
        <w:tc>
          <w:tcPr>
            <w:tcW w:type="dxa" w:w="45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保留本地Docker备用环境和预置演示数据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7"/>
              </w:rPr>
              <w:t>R-06</w:t>
            </w:r>
          </w:p>
        </w:tc>
        <w:tc>
          <w:tcPr>
            <w:tcW w:type="dxa" w:w="238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AI接口不可用或输出不当</w:t>
            </w:r>
          </w:p>
        </w:tc>
        <w:tc>
          <w:tcPr>
            <w:tcW w:type="dxa" w:w="90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中</w:t>
            </w:r>
          </w:p>
        </w:tc>
        <w:tc>
          <w:tcPr>
            <w:tcW w:type="dxa" w:w="4535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AI保持P2；提供手工输入和固定模拟结果；不发送真实数据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7"/>
              </w:rPr>
              <w:t>R-07</w:t>
            </w:r>
          </w:p>
        </w:tc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文件泄露</w:t>
            </w:r>
          </w:p>
        </w:tc>
        <w:tc>
          <w:tcPr>
            <w:tcW w:type="dxa" w:w="9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高</w:t>
            </w:r>
          </w:p>
        </w:tc>
        <w:tc>
          <w:tcPr>
            <w:tcW w:type="dxa" w:w="45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私有存储、短期签名链接、后端授权和演示数据限制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7"/>
              </w:rPr>
              <w:t>R-08</w:t>
            </w:r>
          </w:p>
        </w:tc>
        <w:tc>
          <w:tcPr>
            <w:tcW w:type="dxa" w:w="2381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个人贡献难以证明</w:t>
            </w:r>
          </w:p>
        </w:tc>
        <w:tc>
          <w:tcPr>
            <w:tcW w:type="dxa" w:w="907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中</w:t>
            </w:r>
          </w:p>
        </w:tc>
        <w:tc>
          <w:tcPr>
            <w:tcW w:type="dxa" w:w="4535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需求编号认领、分支和提交记录、个人测试及汇报材料同步维护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附录A 需求范围基线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rPr>
          <w:tblHeader w:val="true"/>
          <w:cantSplit/>
        </w:trPr>
        <w:tc>
          <w:tcPr>
            <w:tcW w:type="dxa" w:w="1814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3969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3118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等线"/>
                <w:b/>
                <w:color w:val="FFFFFF"/>
                <w:sz w:val="17"/>
              </w:rPr>
              <w:t>控制原则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7"/>
              </w:rPr>
              <w:t>核心业务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预约、接诊、病历、模拟缴费</w:t>
            </w:r>
          </w:p>
        </w:tc>
        <w:tc>
          <w:tcPr>
            <w:tcW w:type="dxa" w:w="311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必须完成并稳定演示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7"/>
              </w:rPr>
              <w:t>云服务特征</w:t>
            </w:r>
          </w:p>
        </w:tc>
        <w:tc>
          <w:tcPr>
            <w:tcW w:type="dxa" w:w="3969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双租户隔离、服务接口、云端或容器部署</w:t>
            </w:r>
          </w:p>
        </w:tc>
        <w:tc>
          <w:tcPr>
            <w:tcW w:type="dxa" w:w="3118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必须在设计和测试中提供证据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7"/>
              </w:rPr>
              <w:t>重点扩展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对象存储、统计、审计</w:t>
            </w:r>
          </w:p>
        </w:tc>
        <w:tc>
          <w:tcPr>
            <w:tcW w:type="dxa" w:w="311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不影响核心进度时完成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7"/>
              </w:rPr>
              <w:t>可选创新</w:t>
            </w:r>
          </w:p>
        </w:tc>
        <w:tc>
          <w:tcPr>
            <w:tcW w:type="dxa" w:w="3969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AI病情整理、AI病历文字整理、评价</w:t>
            </w:r>
          </w:p>
        </w:tc>
        <w:tc>
          <w:tcPr>
            <w:tcW w:type="dxa" w:w="3118"/>
            <w:vAlign w:val="center"/>
            <w:shd w:fill="EEF5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只能在核心闭环通过后实施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等线"/>
                <w:color w:val="000000"/>
                <w:sz w:val="17"/>
              </w:rPr>
              <w:t>禁止性边界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真实数据、真实支付、AI自动诊断、DICOM诊断、生产级高可用承诺</w:t>
            </w:r>
          </w:p>
        </w:tc>
        <w:tc>
          <w:tcPr>
            <w:tcW w:type="dxa" w:w="311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等线"/>
                <w:color w:val="000000"/>
                <w:sz w:val="17"/>
              </w:rPr>
              <w:t>不进入课程项目交付范围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附录B 需求变更规则</w:t>
      </w:r>
    </w:p>
    <w:p>
      <w:pPr>
        <w:spacing w:line="300" w:lineRule="auto" w:after="60"/>
        <w:ind w:left="425" w:hanging="312"/>
      </w:pPr>
      <w:r>
        <w:rPr>
          <w:rFonts w:ascii="Arial" w:hAnsi="Arial" w:eastAsia="等线"/>
          <w:color w:val="000000"/>
          <w:sz w:val="21"/>
        </w:rPr>
        <w:t>1. 提出变更时说明需求编号、业务原因、涉及模块、工作量和对进度的影响。</w:t>
      </w:r>
    </w:p>
    <w:p>
      <w:pPr>
        <w:spacing w:line="300" w:lineRule="auto" w:after="60"/>
        <w:ind w:left="425" w:hanging="312"/>
      </w:pPr>
      <w:r>
        <w:rPr>
          <w:rFonts w:ascii="Arial" w:hAnsi="Arial" w:eastAsia="等线"/>
          <w:color w:val="000000"/>
          <w:sz w:val="21"/>
        </w:rPr>
        <w:t>2. 项目负责人、相关模块成员和测试成员共同确认变更是否进入当前迭代。</w:t>
      </w:r>
    </w:p>
    <w:p>
      <w:pPr>
        <w:spacing w:line="300" w:lineRule="auto" w:after="60"/>
        <w:ind w:left="425" w:hanging="312"/>
      </w:pPr>
      <w:r>
        <w:rPr>
          <w:rFonts w:ascii="Arial" w:hAnsi="Arial" w:eastAsia="等线"/>
          <w:color w:val="000000"/>
          <w:sz w:val="21"/>
        </w:rPr>
        <w:t>3. 影响P0流程、数据结构或公共接口的变更必须同步更新本文档、接口文档和测试用例。</w:t>
      </w:r>
    </w:p>
    <w:p>
      <w:pPr>
        <w:spacing w:line="300" w:lineRule="auto" w:after="60"/>
        <w:ind w:left="425" w:hanging="312"/>
      </w:pPr>
      <w:r>
        <w:rPr>
          <w:rFonts w:ascii="Arial" w:hAnsi="Arial" w:eastAsia="等线"/>
          <w:color w:val="000000"/>
          <w:sz w:val="21"/>
        </w:rPr>
        <w:t>4. 无法在系统冻结日前完成的变更移入后续版本，不得以未验证代码进入最终演示环境。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304" w:bottom="1247" w:left="1474" w:header="68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等线"/>
        <w:color w:val="5A5A5A"/>
        <w:sz w:val="18"/>
      </w:rPr>
      <w:t xml:space="preserve">第 </w:t>
    </w:r>
    <w:r>
      <w:rPr>
        <w:rFonts w:ascii="Arial" w:hAnsi="Arial" w:eastAsia="等线"/>
        <w:color w:val="000000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等线"/>
        <w:color w:val="5A5A5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等线"/>
        <w:color w:val="5A5A5A"/>
        <w:sz w:val="17"/>
      </w:rPr>
      <w:t>基于多租户医疗云的在线预约与诊疗服务平台需求分析说明书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等线" w:hAnsi="等线" w:eastAsia="等线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48" w:lineRule="auto"/>
      <w:ind w:firstLine="420"/>
    </w:pPr>
    <w:rPr>
      <w:rFonts w:ascii="等线" w:hAnsi="等线" w:eastAsia="等线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00" w:lineRule="auto" w:after="60"/>
      <w:contextualSpacing/>
    </w:pPr>
    <w:rPr>
      <w:rFonts w:ascii="等线" w:hAnsi="等线" w:eastAsia="等线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300" w:lineRule="auto" w:after="60"/>
      <w:contextualSpacing/>
    </w:pPr>
    <w:rPr>
      <w:rFonts w:ascii="等线" w:hAnsi="等线" w:eastAsia="等线"/>
      <w:color w:val="00000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00" w:lineRule="auto" w:after="60"/>
      <w:contextualSpacing/>
    </w:pPr>
    <w:rPr>
      <w:rFonts w:ascii="等线" w:hAnsi="等线" w:eastAsia="等线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基于多租户医疗云的在线预约与诊疗服务平台需求分析说明书</dc:title>
  <dc:subject>云服务工程课程项目需求分析</dc:subject>
  <dc:creator>项目组</dc:creator>
  <cp:keywords>医疗云, 多租户, SaaS, SOA, 需求分析</cp:keywords>
  <dc:description>课程项目文档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