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B3A5C"/>
          <w:sz w:val="48"/>
          <w:szCs w:val="48"/>
        </w:rPr>
        <w:t xml:space="preserve">CMDB Core Phase 1</w:t>
      </w:r>
    </w:p>
    <w:p>
      <w:pPr>
        <w:spacing w:after="40"/>
        <w:jc w:val="center"/>
      </w:pPr>
      <w:r>
        <w:rPr>
          <w:rFonts w:ascii="Arial" w:cs="Arial" w:eastAsia="Arial" w:hAnsi="Arial"/>
          <w:color w:val="666666"/>
          <w:sz w:val="28"/>
          <w:szCs w:val="28"/>
        </w:rPr>
        <w:t xml:space="preserve">Implementation Plan — Technical Review Report</w:t>
      </w:r>
    </w:p>
    <w:p>
      <w:pPr>
        <w:pBdr>
          <w:bottom w:val="single" w:color="2E75B6" w:sz="6"/>
        </w:pBdr>
        <w:spacing w:after="600"/>
        <w:jc w:val="center"/>
      </w:pPr>
      <w:r>
        <w:rPr>
          <w:rFonts w:ascii="Arial" w:cs="Arial" w:eastAsia="Arial" w:hAnsi="Arial"/>
          <w:color w:val="999999"/>
          <w:sz w:val="22"/>
          <w:szCs w:val="22"/>
        </w:rPr>
        <w:t xml:space="preserve">2026-04-03</w:t>
      </w:r>
    </w:p>
    <w:p>
      <w:pPr>
        <w:pStyle w:val="Heading1"/>
        <w:spacing w:after="150" w:before="300"/>
      </w:pPr>
      <w:r>
        <w:t xml:space="preserve">Executive summary</w:t>
      </w:r>
    </w:p>
    <w:p>
      <w:pPr>
        <w:spacing w:after="120"/>
      </w:pPr>
      <w:r>
        <w:rPr>
          <w:rFonts w:ascii="Arial" w:cs="Arial" w:eastAsia="Arial" w:hAnsi="Arial"/>
          <w:sz w:val="22"/>
          <w:szCs w:val="22"/>
        </w:rPr>
        <w:t xml:space="preserve">This report analyzes the CMDB Core Phase 1 implementation plan, which aims to build a Go backend with 9 business modules exposing 29 REST endpoints, backed by PostgreSQL 17 + TimescaleDB, Redis 7, and NATS JetStream. The plan is 100% backend-focused and intended to replace all frontend mock data with real API calls.</w:t>
      </w:r>
    </w:p>
    <w:p>
      <w:pPr>
        <w:spacing w:after="120"/>
      </w:pPr>
      <w:r>
        <w:rPr>
          <w:rFonts w:ascii="Arial" w:cs="Arial" w:eastAsia="Arial" w:hAnsi="Arial"/>
          <w:sz w:val="22"/>
          <w:szCs w:val="22"/>
        </w:rPr>
        <w:t xml:space="preserve">The plan is well-structured and actionable, with clear task decomposition across 13 tasks. However, there are several security vulnerabilities, robustness gaps, and missing operational practices that should be addressed before or shortly after Phase 1 delivery.</w:t>
      </w:r>
    </w:p>
    <w:p>
      <w:pPr>
        <w:pStyle w:val="Heading1"/>
        <w:spacing w:after="150" w:before="300"/>
      </w:pPr>
      <w:r>
        <w:t xml:space="preserve">Scope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Modular monolith (Go + Gin)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17 + TimescaleDB + ltree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Cache / sessions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 bus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NATS 2.10 JetStream</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libraries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sqlc, golang-migrate, Wire (DI), casbin, zap</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tasks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tasks (scaffold → integration)</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endpoints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REST endpoints (28 P0 + 1 dashboard)</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Business modules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Topology, Asset, Maintenance, Monitoring, Inventory, Audit, Dashboard</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 of scope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ingestion, MCP Server, AI adapters, cross-IDC federation, WebSocket, Excel import</w:t>
            </w:r>
          </w:p>
        </w:tc>
      </w:tr>
    </w:tbl>
    <w:p>
      <w:pPr>
        <w:pStyle w:val="Heading1"/>
        <w:spacing w:after="150" w:before="300"/>
      </w:pPr>
      <w:r>
        <w:t xml:space="preserve">Architecture strengths</w:t>
      </w:r>
    </w:p>
    <w:p>
      <w:pPr>
        <w:pStyle w:val="Heading2"/>
        <w:spacing w:after="150" w:before="300"/>
      </w:pPr>
      <w:r>
        <w:t xml:space="preserve">Modular monolith is the right choice</w:t>
      </w:r>
    </w:p>
    <w:p>
      <w:pPr>
        <w:spacing w:after="120"/>
      </w:pPr>
      <w:r>
        <w:rPr>
          <w:rFonts w:ascii="Arial" w:cs="Arial" w:eastAsia="Arial" w:hAnsi="Arial"/>
          <w:sz w:val="22"/>
          <w:szCs w:val="22"/>
        </w:rPr>
        <w:t xml:space="preserve">Using a modular monolith instead of microservices for Phase 1 avoids premature distributed-system complexity while preserving the option to split modules later. Modules communicate through interfaces and events, not direct function calls, which is the ideal separation boundary for future extraction.</w:t>
      </w:r>
    </w:p>
    <w:p>
      <w:pPr>
        <w:pStyle w:val="Heading2"/>
        <w:spacing w:after="150" w:before="300"/>
      </w:pPr>
      <w:r>
        <w:t xml:space="preserve">Sound technology selections</w:t>
      </w:r>
    </w:p>
    <w:p>
      <w:pPr>
        <w:pStyle w:val="ListParagraph"/>
        <w:numPr>
          <w:ilvl w:val="0"/>
          <w:numId w:val="2"/>
        </w:numPr>
        <w:spacing w:after="80"/>
      </w:pPr>
      <w:r>
        <w:rPr>
          <w:rFonts w:ascii="Arial" w:cs="Arial" w:eastAsia="Arial" w:hAnsi="Arial"/>
          <w:sz w:val="22"/>
          <w:szCs w:val="22"/>
        </w:rPr>
        <w:t xml:space="preserve">sqlc provides compile-time type safety for DB queries — more transparent and predictable than an ORM.</w:t>
      </w:r>
    </w:p>
    <w:p>
      <w:pPr>
        <w:pStyle w:val="ListParagraph"/>
        <w:numPr>
          <w:ilvl w:val="0"/>
          <w:numId w:val="2"/>
        </w:numPr>
        <w:spacing w:after="80"/>
      </w:pPr>
      <w:r>
        <w:rPr>
          <w:rFonts w:ascii="Arial" w:cs="Arial" w:eastAsia="Arial" w:hAnsi="Arial"/>
          <w:sz w:val="22"/>
          <w:szCs w:val="22"/>
        </w:rPr>
        <w:t xml:space="preserve">ltree extension elegantly handles the hierarchical location tree (country → region → city → campus) with efficient ancestor/descendant queries.</w:t>
      </w:r>
    </w:p>
    <w:p>
      <w:pPr>
        <w:pStyle w:val="ListParagraph"/>
        <w:numPr>
          <w:ilvl w:val="0"/>
          <w:numId w:val="2"/>
        </w:numPr>
        <w:spacing w:after="80"/>
      </w:pPr>
      <w:r>
        <w:rPr>
          <w:rFonts w:ascii="Arial" w:cs="Arial" w:eastAsia="Arial" w:hAnsi="Arial"/>
          <w:sz w:val="22"/>
          <w:szCs w:val="22"/>
        </w:rPr>
        <w:t xml:space="preserve">TimescaleDB pre-positions the system for time-series metrics data in later phases without requiring a separate TSDB.</w:t>
      </w:r>
    </w:p>
    <w:p>
      <w:pPr>
        <w:pStyle w:val="ListParagraph"/>
        <w:numPr>
          <w:ilvl w:val="0"/>
          <w:numId w:val="2"/>
        </w:numPr>
        <w:spacing w:after="80"/>
      </w:pPr>
      <w:r>
        <w:rPr>
          <w:rFonts w:ascii="Arial" w:cs="Arial" w:eastAsia="Arial" w:hAnsi="Arial"/>
          <w:sz w:val="22"/>
          <w:szCs w:val="22"/>
        </w:rPr>
        <w:t xml:space="preserve">NATS JetStream provides durable, at-least-once async event delivery with minimal operational overhead.</w:t>
      </w:r>
    </w:p>
    <w:p>
      <w:pPr>
        <w:pStyle w:val="Heading2"/>
        <w:spacing w:after="150" w:before="300"/>
      </w:pPr>
      <w:r>
        <w:t xml:space="preserve">Multi-tenancy design</w:t>
      </w:r>
    </w:p>
    <w:p>
      <w:pPr>
        <w:spacing w:after="120"/>
      </w:pPr>
      <w:r>
        <w:rPr>
          <w:rFonts w:ascii="Arial" w:cs="Arial" w:eastAsia="Arial" w:hAnsi="Arial"/>
          <w:sz w:val="22"/>
          <w:szCs w:val="22"/>
        </w:rPr>
        <w:t xml:space="preserve">RLS (Row-Level Security) combined with tenant_id on every table and middleware-injected tenant context creates a clean multi-tenant boundary. This positions the system well for the planned cross-IDC federation in later phases.</w:t>
      </w:r>
    </w:p>
    <w:p>
      <w:pPr>
        <w:pStyle w:val="Heading1"/>
        <w:spacing w:after="150" w:before="300"/>
      </w:pPr>
      <w:r>
        <w:t xml:space="preserve">Critical issues</w:t>
      </w:r>
    </w:p>
    <w:p>
      <w:pPr>
        <w:pStyle w:val="Heading2"/>
        <w:spacing w:after="150" w:before="300"/>
      </w:pPr>
      <w:r>
        <w:t xml:space="preserve">1. SQL injection in tenant context setter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Severity</w:t>
            </w:r>
          </w:p>
        </w:tc>
        <w:tc>
          <w:tcPr>
            <w:tcW w:type="dxa" w:w="73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A32D2D"/>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internal/platform/database/postgres.go</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w:t>
      </w:r>
      <w:r>
        <w:rPr>
          <w:rFonts w:ascii="Courier New" w:cs="Courier New" w:eastAsia="Courier New" w:hAnsi="Courier New"/>
          <w:sz w:val="20"/>
          <w:szCs w:val="20"/>
        </w:rPr>
        <w:t xml:space="preserve">SetTenantContext</w:t>
      </w:r>
      <w:r>
        <w:rPr>
          <w:rFonts w:ascii="Arial" w:cs="Arial" w:eastAsia="Arial" w:hAnsi="Arial"/>
          <w:sz w:val="22"/>
          <w:szCs w:val="22"/>
        </w:rPr>
        <w:t xml:space="preserve"> function uses </w:t>
      </w:r>
      <w:r>
        <w:rPr>
          <w:rFonts w:ascii="Courier New" w:cs="Courier New" w:eastAsia="Courier New" w:hAnsi="Courier New"/>
          <w:sz w:val="20"/>
          <w:szCs w:val="20"/>
        </w:rPr>
        <w:t xml:space="preserve">fmt.Sprintf</w:t>
      </w:r>
      <w:r>
        <w:rPr>
          <w:rFonts w:ascii="Arial" w:cs="Arial" w:eastAsia="Arial" w:hAnsi="Arial"/>
          <w:sz w:val="22"/>
          <w:szCs w:val="22"/>
        </w:rPr>
        <w:t xml:space="preserve"> to build a SQL statement with string concatenation:</w:t>
      </w:r>
    </w:p>
    <w:p>
      <w:pPr>
        <w:shd w:fill="F5F5F5" w:val="clear"/>
        <w:spacing w:after="80" w:before="80"/>
        <w:ind w:left="360"/>
      </w:pPr>
      <w:r>
        <w:rPr>
          <w:rFonts w:ascii="Courier New" w:cs="Courier New" w:eastAsia="Courier New" w:hAnsi="Courier New"/>
          <w:sz w:val="18"/>
          <w:szCs w:val="18"/>
        </w:rPr>
        <w:t xml:space="preserve">_, err := tx.Exec(ctx, fmt.Sprintf("SET LOCAL app.current_tenant = '%s'", tenantID))</w:t>
      </w:r>
    </w:p>
    <w:p>
      <w:pPr>
        <w:spacing w:after="120"/>
      </w:pPr>
      <w:r>
        <w:rPr>
          <w:rFonts w:ascii="Arial" w:cs="Arial" w:eastAsia="Arial" w:hAnsi="Arial"/>
          <w:sz w:val="22"/>
          <w:szCs w:val="22"/>
        </w:rPr>
        <w:t xml:space="preserve">Even though tenantID currently comes from JWT claims, this is a classic SQL injection vector. If any future code path passes unsanitized input, an attacker could execute arbitrary SQL.</w:t>
      </w:r>
    </w:p>
    <w:p>
      <w:pPr>
        <w:spacing w:after="120"/>
      </w:pPr>
      <w:r>
        <w:rPr>
          <w:rFonts w:ascii="Arial" w:cs="Arial" w:eastAsia="Arial" w:hAnsi="Arial"/>
          <w:b/>
          <w:bCs/>
          <w:sz w:val="22"/>
          <w:szCs w:val="22"/>
        </w:rPr>
        <w:t xml:space="preserve">Recommended fix:</w:t>
      </w:r>
    </w:p>
    <w:p>
      <w:pPr>
        <w:pStyle w:val="ListParagraph"/>
        <w:numPr>
          <w:ilvl w:val="0"/>
          <w:numId w:val="3"/>
        </w:numPr>
        <w:spacing w:after="80"/>
      </w:pPr>
      <w:r>
        <w:rPr>
          <w:rFonts w:ascii="Arial" w:cs="Arial" w:eastAsia="Arial" w:hAnsi="Arial"/>
          <w:sz w:val="22"/>
          <w:szCs w:val="22"/>
        </w:rPr>
        <w:t xml:space="preserve">Validate that tenantID is a valid UUID format before use.</w:t>
      </w:r>
    </w:p>
    <w:p>
      <w:pPr>
        <w:pStyle w:val="ListParagraph"/>
        <w:numPr>
          <w:ilvl w:val="0"/>
          <w:numId w:val="3"/>
        </w:numPr>
        <w:spacing w:after="80"/>
      </w:pPr>
      <w:r>
        <w:rPr>
          <w:rFonts w:ascii="Arial" w:cs="Arial" w:eastAsia="Arial" w:hAnsi="Arial"/>
          <w:sz w:val="22"/>
          <w:szCs w:val="22"/>
        </w:rPr>
        <w:t xml:space="preserve">Use parameterized execution: SET LOCAL app.current_tenant = $1 with the tenant ID as a bound parameter, or use the format() PostgreSQL function.</w:t>
      </w:r>
    </w:p>
    <w:p>
      <w:pPr>
        <w:pStyle w:val="ListParagraph"/>
        <w:numPr>
          <w:ilvl w:val="0"/>
          <w:numId w:val="3"/>
        </w:numPr>
        <w:spacing w:after="80"/>
      </w:pPr>
      <w:r>
        <w:rPr>
          <w:rFonts w:ascii="Arial" w:cs="Arial" w:eastAsia="Arial" w:hAnsi="Arial"/>
          <w:sz w:val="22"/>
          <w:szCs w:val="22"/>
        </w:rPr>
        <w:t xml:space="preserve">As a defense-in-depth measure, add a uuid.Parse() guard at the middleware level before the value reaches SetTenantContext.</w:t>
      </w:r>
    </w:p>
    <w:p>
      <w:pPr>
        <w:pStyle w:val="Heading2"/>
        <w:spacing w:after="150" w:before="300"/>
      </w:pPr>
      <w:r>
        <w:t xml:space="preserve">2. Refresh token lacks binding and rotation detection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Severity</w:t>
            </w:r>
          </w:p>
        </w:tc>
        <w:tc>
          <w:tcPr>
            <w:tcW w:type="dxa" w:w="73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A32D2D"/>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internal/domain/identity/auth_service.go</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refresh token is stored in Redis keyed solely by token value, without binding to client fingerprint, IP, or user-agent. A leaked refresh token grants indefinite access through rotation. There is no token family tracking, so stolen-then-reused tokens cannot be detected.</w:t>
      </w:r>
    </w:p>
    <w:p>
      <w:pPr>
        <w:spacing w:after="120"/>
      </w:pPr>
      <w:r>
        <w:rPr>
          <w:rFonts w:ascii="Arial" w:cs="Arial" w:eastAsia="Arial" w:hAnsi="Arial"/>
          <w:b/>
          <w:bCs/>
          <w:sz w:val="22"/>
          <w:szCs w:val="22"/>
        </w:rPr>
        <w:t xml:space="preserve">Recommended fix:</w:t>
      </w:r>
    </w:p>
    <w:p>
      <w:pPr>
        <w:pStyle w:val="ListParagraph"/>
        <w:numPr>
          <w:ilvl w:val="0"/>
          <w:numId w:val="2"/>
        </w:numPr>
        <w:spacing w:after="80"/>
      </w:pPr>
      <w:r>
        <w:rPr>
          <w:rFonts w:ascii="Arial" w:cs="Arial" w:eastAsia="Arial" w:hAnsi="Arial"/>
          <w:sz w:val="22"/>
          <w:szCs w:val="22"/>
        </w:rPr>
        <w:t xml:space="preserve">Implement token family IDs: each refresh issues a new token in the same family. If a previously-used token in the family is replayed, revoke the entire family (indicates theft).</w:t>
      </w:r>
    </w:p>
    <w:p>
      <w:pPr>
        <w:pStyle w:val="ListParagraph"/>
        <w:numPr>
          <w:ilvl w:val="0"/>
          <w:numId w:val="2"/>
        </w:numPr>
        <w:spacing w:after="80"/>
      </w:pPr>
      <w:r>
        <w:rPr>
          <w:rFonts w:ascii="Arial" w:cs="Arial" w:eastAsia="Arial" w:hAnsi="Arial"/>
          <w:sz w:val="22"/>
          <w:szCs w:val="22"/>
        </w:rPr>
        <w:t xml:space="preserve">Optionally bind refresh tokens to a client fingerprint hash (IP + User-Agent) and reject mismatches.</w:t>
      </w:r>
    </w:p>
    <w:p>
      <w:pPr>
        <w:pStyle w:val="Heading2"/>
        <w:spacing w:after="150" w:before="300"/>
      </w:pPr>
      <w:r>
        <w:t xml:space="preserve">3. Work order code collision under concurrency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Severity</w:t>
            </w:r>
          </w:p>
        </w:tc>
        <w:tc>
          <w:tcPr>
            <w:tcW w:type="dxa" w:w="73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internal/domain/maintenance/service.go</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Work order codes are generated as </w:t>
      </w:r>
      <w:r>
        <w:rPr>
          <w:rFonts w:ascii="Courier New" w:cs="Courier New" w:eastAsia="Courier New" w:hAnsi="Courier New"/>
          <w:sz w:val="20"/>
          <w:szCs w:val="20"/>
        </w:rPr>
        <w:t xml:space="preserve">WO-{year}-{UnixMilli%10000}</w:t>
      </w:r>
      <w:r>
        <w:rPr>
          <w:rFonts w:ascii="Arial" w:cs="Arial" w:eastAsia="Arial" w:hAnsi="Arial"/>
          <w:sz w:val="22"/>
          <w:szCs w:val="22"/>
        </w:rPr>
        <w:t xml:space="preserve">. Under concurrent requests within the same millisecond, this will produce duplicate codes, violating the UNIQUE constraint on </w:t>
      </w:r>
      <w:r>
        <w:rPr>
          <w:rFonts w:ascii="Courier New" w:cs="Courier New" w:eastAsia="Courier New" w:hAnsi="Courier New"/>
          <w:sz w:val="20"/>
          <w:szCs w:val="20"/>
        </w:rPr>
        <w:t xml:space="preserve">work_orders.code</w:t>
      </w:r>
      <w:r>
        <w:rPr>
          <w:rFonts w:ascii="Arial" w:cs="Arial" w:eastAsia="Arial" w:hAnsi="Arial"/>
          <w:sz w:val="22"/>
          <w:szCs w:val="22"/>
        </w:rPr>
        <w:t xml:space="preserve"> and returning a 500 error to the client.</w:t>
      </w:r>
    </w:p>
    <w:p>
      <w:pPr>
        <w:spacing w:after="120"/>
      </w:pPr>
      <w:r>
        <w:rPr>
          <w:rFonts w:ascii="Arial" w:cs="Arial" w:eastAsia="Arial" w:hAnsi="Arial"/>
          <w:b/>
          <w:bCs/>
          <w:sz w:val="22"/>
          <w:szCs w:val="22"/>
        </w:rPr>
        <w:t xml:space="preserve">Recommended fix:</w:t>
      </w:r>
    </w:p>
    <w:p>
      <w:pPr>
        <w:pStyle w:val="ListParagraph"/>
        <w:numPr>
          <w:ilvl w:val="0"/>
          <w:numId w:val="2"/>
        </w:numPr>
        <w:spacing w:after="80"/>
      </w:pPr>
      <w:r>
        <w:rPr>
          <w:rFonts w:ascii="Arial" w:cs="Arial" w:eastAsia="Arial" w:hAnsi="Arial"/>
          <w:sz w:val="22"/>
          <w:szCs w:val="22"/>
        </w:rPr>
        <w:t xml:space="preserve">Use a PostgreSQL sequence or Redis INCR for monotonically increasing order numbers.</w:t>
      </w:r>
    </w:p>
    <w:p>
      <w:pPr>
        <w:pStyle w:val="ListParagraph"/>
        <w:numPr>
          <w:ilvl w:val="0"/>
          <w:numId w:val="2"/>
        </w:numPr>
        <w:spacing w:after="80"/>
      </w:pPr>
      <w:r>
        <w:rPr>
          <w:rFonts w:ascii="Arial" w:cs="Arial" w:eastAsia="Arial" w:hAnsi="Arial"/>
          <w:sz w:val="22"/>
          <w:szCs w:val="22"/>
        </w:rPr>
        <w:t xml:space="preserve">Alternatively, use a short UUID or ULID-based code that is collision-resistant by design.</w:t>
      </w:r>
    </w:p>
    <w:p>
      <w:pPr>
        <w:pStyle w:val="Heading2"/>
        <w:spacing w:after="150" w:before="300"/>
      </w:pPr>
      <w:r>
        <w:t xml:space="preserve">4. Asset POST endpoint returns 501 but listed as P0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Severity</w:t>
            </w:r>
          </w:p>
        </w:tc>
        <w:tc>
          <w:tcPr>
            <w:tcW w:type="dxa" w:w="73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internal/domain/asset/handler.go</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w:t>
      </w:r>
      <w:r>
        <w:rPr>
          <w:rFonts w:ascii="Courier New" w:cs="Courier New" w:eastAsia="Courier New" w:hAnsi="Courier New"/>
          <w:sz w:val="20"/>
          <w:szCs w:val="20"/>
        </w:rPr>
        <w:t xml:space="preserve">POST /api/v1/assets</w:t>
      </w:r>
      <w:r>
        <w:rPr>
          <w:rFonts w:ascii="Arial" w:cs="Arial" w:eastAsia="Arial" w:hAnsi="Arial"/>
          <w:sz w:val="22"/>
          <w:szCs w:val="22"/>
        </w:rPr>
        <w:t xml:space="preserve"> handler explicitly returns 501 Not Implemented ("asset creation will be available in Phase 2"), yet the endpoint summary table lists it as endpoint #17, a P0 deliverable. This is a scope/spec inconsistency that will confuse the frontend team.</w:t>
      </w:r>
    </w:p>
    <w:p>
      <w:pPr>
        <w:spacing w:after="120"/>
      </w:pPr>
      <w:r>
        <w:rPr>
          <w:rFonts w:ascii="Arial" w:cs="Arial" w:eastAsia="Arial" w:hAnsi="Arial"/>
          <w:b/>
          <w:bCs/>
          <w:sz w:val="22"/>
          <w:szCs w:val="22"/>
        </w:rPr>
        <w:t xml:space="preserve">Recommended fix:</w:t>
      </w:r>
    </w:p>
    <w:p>
      <w:pPr>
        <w:pStyle w:val="ListParagraph"/>
        <w:numPr>
          <w:ilvl w:val="0"/>
          <w:numId w:val="2"/>
        </w:numPr>
        <w:spacing w:after="80"/>
      </w:pPr>
      <w:r>
        <w:rPr>
          <w:rFonts w:ascii="Arial" w:cs="Arial" w:eastAsia="Arial" w:hAnsi="Arial"/>
          <w:sz w:val="22"/>
          <w:szCs w:val="22"/>
        </w:rPr>
        <w:t xml:space="preserve">Either implement the endpoint fully in Phase 1 (the service layer and sqlc query already exist), or remove it from the P0 endpoint table and document it as Phase 2.</w:t>
      </w:r>
    </w:p>
    <w:p>
      <w:pPr>
        <w:pStyle w:val="Heading2"/>
        <w:spacing w:after="150" w:before="300"/>
      </w:pPr>
      <w:r>
        <w:t xml:space="preserve">5. Event bus publish errors silently dropped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Severity</w:t>
            </w:r>
          </w:p>
        </w:tc>
        <w:tc>
          <w:tcPr>
            <w:tcW w:type="dxa" w:w="73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Location</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internal/domain/asset/service.go and others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In the Asset service, </w:t>
      </w:r>
      <w:r>
        <w:rPr>
          <w:rFonts w:ascii="Courier New" w:cs="Courier New" w:eastAsia="Courier New" w:hAnsi="Courier New"/>
          <w:sz w:val="20"/>
          <w:szCs w:val="20"/>
        </w:rPr>
        <w:t xml:space="preserve">bus.Publish()</w:t>
      </w:r>
      <w:r>
        <w:rPr>
          <w:rFonts w:ascii="Arial" w:cs="Arial" w:eastAsia="Arial" w:hAnsi="Arial"/>
          <w:sz w:val="22"/>
          <w:szCs w:val="22"/>
        </w:rPr>
        <w:t xml:space="preserve"> is called without checking its return error. If NATS is down, events are silently lost. This affects all modules that emit events (Asset, Maintenance, Monitoring).</w:t>
      </w:r>
    </w:p>
    <w:p>
      <w:pPr>
        <w:spacing w:after="120"/>
      </w:pPr>
      <w:r>
        <w:rPr>
          <w:rFonts w:ascii="Arial" w:cs="Arial" w:eastAsia="Arial" w:hAnsi="Arial"/>
          <w:b/>
          <w:bCs/>
          <w:sz w:val="22"/>
          <w:szCs w:val="22"/>
        </w:rPr>
        <w:t xml:space="preserve">Recommended fix:</w:t>
      </w:r>
    </w:p>
    <w:p>
      <w:pPr>
        <w:pStyle w:val="ListParagraph"/>
        <w:numPr>
          <w:ilvl w:val="0"/>
          <w:numId w:val="2"/>
        </w:numPr>
        <w:spacing w:after="80"/>
      </w:pPr>
      <w:r>
        <w:rPr>
          <w:rFonts w:ascii="Arial" w:cs="Arial" w:eastAsia="Arial" w:hAnsi="Arial"/>
          <w:sz w:val="22"/>
          <w:szCs w:val="22"/>
        </w:rPr>
        <w:t xml:space="preserve">At minimum, log publish errors with structured logging (zap).</w:t>
      </w:r>
    </w:p>
    <w:p>
      <w:pPr>
        <w:pStyle w:val="ListParagraph"/>
        <w:numPr>
          <w:ilvl w:val="0"/>
          <w:numId w:val="2"/>
        </w:numPr>
        <w:spacing w:after="80"/>
      </w:pPr>
      <w:r>
        <w:rPr>
          <w:rFonts w:ascii="Arial" w:cs="Arial" w:eastAsia="Arial" w:hAnsi="Arial"/>
          <w:sz w:val="22"/>
          <w:szCs w:val="22"/>
        </w:rPr>
        <w:t xml:space="preserve">For critical events (asset status changes, order transitions), consider an outbox pattern: write the event to a DB table in the same transaction, then asynchronously relay to NATS.</w:t>
      </w:r>
    </w:p>
    <w:p>
      <w:pPr>
        <w:pStyle w:val="Heading1"/>
        <w:spacing w:after="150" w:before="300"/>
      </w:pPr>
      <w:r>
        <w:t xml:space="preserve">Additional concerns</w:t>
      </w:r>
    </w:p>
    <w:p>
      <w:pPr>
        <w:pStyle w:val="Heading2"/>
        <w:spacing w:after="150" w:before="300"/>
      </w:pPr>
      <w:r>
        <w:t xml:space="preserve">Error handling too coarse</w:t>
      </w:r>
    </w:p>
    <w:p>
      <w:pPr>
        <w:spacing w:after="120"/>
      </w:pPr>
      <w:r>
        <w:rPr>
          <w:rFonts w:ascii="Arial" w:cs="Arial" w:eastAsia="Arial" w:hAnsi="Arial"/>
          <w:sz w:val="22"/>
          <w:szCs w:val="22"/>
        </w:rPr>
        <w:t xml:space="preserve">Most handlers map all DB errors to either InternalError or NotFound without distinguishing pgx.ErrNoRows (not found) from connection failures (retry-able) from constraint violations (client error). This makes debugging difficult and returns misleading HTTP status codes.</w:t>
      </w:r>
    </w:p>
    <w:p>
      <w:pPr>
        <w:pStyle w:val="Heading2"/>
        <w:spacing w:after="150" w:before="300"/>
      </w:pPr>
      <w:r>
        <w:t xml:space="preserve">No input validation on enum fields</w:t>
      </w:r>
    </w:p>
    <w:p>
      <w:pPr>
        <w:spacing w:after="120"/>
      </w:pPr>
      <w:r>
        <w:rPr>
          <w:rFonts w:ascii="Arial" w:cs="Arial" w:eastAsia="Arial" w:hAnsi="Arial"/>
          <w:sz w:val="22"/>
          <w:szCs w:val="22"/>
        </w:rPr>
        <w:t xml:space="preserve">Fields like asset </w:t>
      </w:r>
      <w:r>
        <w:rPr>
          <w:rFonts w:ascii="Courier New" w:cs="Courier New" w:eastAsia="Courier New" w:hAnsi="Courier New"/>
          <w:sz w:val="20"/>
          <w:szCs w:val="20"/>
        </w:rPr>
        <w:t xml:space="preserve">type</w:t>
      </w:r>
      <w:r>
        <w:rPr>
          <w:rFonts w:ascii="Arial" w:cs="Arial" w:eastAsia="Arial" w:hAnsi="Arial"/>
          <w:sz w:val="22"/>
          <w:szCs w:val="22"/>
        </w:rPr>
        <w:t xml:space="preserve">, </w:t>
      </w:r>
      <w:r>
        <w:rPr>
          <w:rFonts w:ascii="Courier New" w:cs="Courier New" w:eastAsia="Courier New" w:hAnsi="Courier New"/>
          <w:sz w:val="20"/>
          <w:szCs w:val="20"/>
        </w:rPr>
        <w:t xml:space="preserve">status</w:t>
      </w:r>
      <w:r>
        <w:rPr>
          <w:rFonts w:ascii="Arial" w:cs="Arial" w:eastAsia="Arial" w:hAnsi="Arial"/>
          <w:sz w:val="22"/>
          <w:szCs w:val="22"/>
        </w:rPr>
        <w:t xml:space="preserve">, </w:t>
      </w:r>
      <w:r>
        <w:rPr>
          <w:rFonts w:ascii="Courier New" w:cs="Courier New" w:eastAsia="Courier New" w:hAnsi="Courier New"/>
          <w:sz w:val="20"/>
          <w:szCs w:val="20"/>
        </w:rPr>
        <w:t xml:space="preserve">bia_level</w:t>
      </w:r>
      <w:r>
        <w:rPr>
          <w:rFonts w:ascii="Arial" w:cs="Arial" w:eastAsia="Arial" w:hAnsi="Arial"/>
          <w:sz w:val="22"/>
          <w:szCs w:val="22"/>
        </w:rPr>
        <w:t xml:space="preserve">, and work order </w:t>
      </w:r>
      <w:r>
        <w:rPr>
          <w:rFonts w:ascii="Courier New" w:cs="Courier New" w:eastAsia="Courier New" w:hAnsi="Courier New"/>
          <w:sz w:val="20"/>
          <w:szCs w:val="20"/>
        </w:rPr>
        <w:t xml:space="preserve">priority</w:t>
      </w:r>
      <w:r>
        <w:rPr>
          <w:rFonts w:ascii="Arial" w:cs="Arial" w:eastAsia="Arial" w:hAnsi="Arial"/>
          <w:sz w:val="22"/>
          <w:szCs w:val="22"/>
        </w:rPr>
        <w:t xml:space="preserve"> are stored as VARCHAR with no application-layer validation beyond </w:t>
      </w:r>
      <w:r>
        <w:rPr>
          <w:rFonts w:ascii="Courier New" w:cs="Courier New" w:eastAsia="Courier New" w:hAnsi="Courier New"/>
          <w:sz w:val="20"/>
          <w:szCs w:val="20"/>
        </w:rPr>
        <w:t xml:space="preserve">binding:"required"</w:t>
      </w:r>
      <w:r>
        <w:rPr>
          <w:rFonts w:ascii="Arial" w:cs="Arial" w:eastAsia="Arial" w:hAnsi="Arial"/>
          <w:sz w:val="22"/>
          <w:szCs w:val="22"/>
        </w:rPr>
        <w:t xml:space="preserve">. Any arbitrary string can be persisted, leading to data quality issues.</w:t>
      </w:r>
    </w:p>
    <w:p>
      <w:pPr>
        <w:pStyle w:val="Heading2"/>
        <w:spacing w:after="150" w:before="300"/>
      </w:pPr>
      <w:r>
        <w:t xml:space="preserve">No test strategy</w:t>
      </w:r>
    </w:p>
    <w:p>
      <w:pPr>
        <w:spacing w:after="120"/>
      </w:pPr>
      <w:r>
        <w:rPr>
          <w:rFonts w:ascii="Arial" w:cs="Arial" w:eastAsia="Arial" w:hAnsi="Arial"/>
          <w:sz w:val="22"/>
          <w:szCs w:val="22"/>
        </w:rPr>
        <w:t xml:space="preserve">The entire 13-task plan contains zero unit tests, integration tests, or contract tests. The only verification is a manual curl-based smoke test in Task 13. This makes refactoring and regression detection impossible.</w:t>
      </w:r>
    </w:p>
    <w:p>
      <w:pPr>
        <w:pStyle w:val="Heading2"/>
        <w:spacing w:after="150" w:before="300"/>
      </w:pPr>
      <w:r>
        <w:t xml:space="preserve">No graceful degradation</w:t>
      </w:r>
    </w:p>
    <w:p>
      <w:pPr>
        <w:spacing w:after="120"/>
      </w:pPr>
      <w:r>
        <w:rPr>
          <w:rFonts w:ascii="Arial" w:cs="Arial" w:eastAsia="Arial" w:hAnsi="Arial"/>
          <w:sz w:val="22"/>
          <w:szCs w:val="22"/>
        </w:rPr>
        <w:t xml:space="preserve">If Redis or NATS is unavailable at startup, the entire service fails to boot. For Phase 1, Redis is used for refresh tokens and NATS for async events — neither is critical for core CRUD operations. The service should start in degraded mode with appropriate health check reporting.</w:t>
      </w:r>
    </w:p>
    <w:p>
      <w:pPr>
        <w:pStyle w:val="Heading2"/>
        <w:spacing w:after="150" w:before="300"/>
      </w:pPr>
      <w:r>
        <w:t xml:space="preserve">Missing rate limiting on auth endpoints</w:t>
      </w:r>
    </w:p>
    <w:p>
      <w:pPr>
        <w:spacing w:after="120"/>
      </w:pPr>
      <w:r>
        <w:rPr>
          <w:rFonts w:ascii="Arial" w:cs="Arial" w:eastAsia="Arial" w:hAnsi="Arial"/>
          <w:sz w:val="22"/>
          <w:szCs w:val="22"/>
        </w:rPr>
        <w:t xml:space="preserve">The </w:t>
      </w:r>
      <w:r>
        <w:rPr>
          <w:rFonts w:ascii="Courier New" w:cs="Courier New" w:eastAsia="Courier New" w:hAnsi="Courier New"/>
          <w:sz w:val="20"/>
          <w:szCs w:val="20"/>
        </w:rPr>
        <w:t xml:space="preserve">POST /auth/login</w:t>
      </w:r>
      <w:r>
        <w:rPr>
          <w:rFonts w:ascii="Arial" w:cs="Arial" w:eastAsia="Arial" w:hAnsi="Arial"/>
          <w:sz w:val="22"/>
          <w:szCs w:val="22"/>
        </w:rPr>
        <w:t xml:space="preserve"> endpoint has no rate limiting, making it vulnerable to brute-force and credential-stuffing attacks. At minimum, add IP-based rate limiting (e.g., 5 attempts per minute) using Redis.</w:t>
      </w:r>
    </w:p>
    <w:p>
      <w:pPr>
        <w:pStyle w:val="Heading2"/>
        <w:spacing w:after="150" w:before="300"/>
      </w:pPr>
      <w:r>
        <w:t xml:space="preserve">Health check is shallow</w:t>
      </w:r>
    </w:p>
    <w:p>
      <w:pPr>
        <w:spacing w:after="120"/>
      </w:pPr>
      <w:r>
        <w:rPr>
          <w:rFonts w:ascii="Arial" w:cs="Arial" w:eastAsia="Arial" w:hAnsi="Arial"/>
          <w:sz w:val="22"/>
          <w:szCs w:val="22"/>
        </w:rPr>
        <w:t xml:space="preserve">The </w:t>
      </w:r>
      <w:r>
        <w:rPr>
          <w:rFonts w:ascii="Courier New" w:cs="Courier New" w:eastAsia="Courier New" w:hAnsi="Courier New"/>
          <w:sz w:val="20"/>
          <w:szCs w:val="20"/>
        </w:rPr>
        <w:t xml:space="preserve">/healthz</w:t>
      </w:r>
      <w:r>
        <w:rPr>
          <w:rFonts w:ascii="Arial" w:cs="Arial" w:eastAsia="Arial" w:hAnsi="Arial"/>
          <w:sz w:val="22"/>
          <w:szCs w:val="22"/>
        </w:rPr>
        <w:t xml:space="preserve"> endpoint always returns </w:t>
      </w:r>
      <w:r>
        <w:rPr>
          <w:rFonts w:ascii="Courier New" w:cs="Courier New" w:eastAsia="Courier New" w:hAnsi="Courier New"/>
          <w:sz w:val="20"/>
          <w:szCs w:val="20"/>
        </w:rPr>
        <w:t xml:space="preserve">{"status":"ok"}</w:t>
      </w:r>
      <w:r>
        <w:rPr>
          <w:rFonts w:ascii="Arial" w:cs="Arial" w:eastAsia="Arial" w:hAnsi="Arial"/>
          <w:sz w:val="22"/>
          <w:szCs w:val="22"/>
        </w:rPr>
        <w:t xml:space="preserve"> without checking downstream dependencies (PostgreSQL, Redis, NATS). This makes it useless for load balancer health gating and Kubernetes readiness probes.</w:t>
      </w:r>
    </w:p>
    <w:p>
      <w:r>
        <w:br w:type="page"/>
      </w:r>
    </w:p>
    <w:p>
      <w:pPr>
        <w:pStyle w:val="Heading1"/>
        <w:spacing w:after="150" w:before="300"/>
      </w:pPr>
      <w:r>
        <w:t xml:space="preserve">Task dependency and execution risk</w:t>
      </w:r>
    </w:p>
    <w:p>
      <w:pPr>
        <w:spacing w:after="120"/>
      </w:pPr>
      <w:r>
        <w:rPr>
          <w:rFonts w:ascii="Arial" w:cs="Arial" w:eastAsia="Arial" w:hAnsi="Arial"/>
          <w:sz w:val="22"/>
          <w:szCs w:val="22"/>
        </w:rPr>
        <w:t xml:space="preserve">Tasks 1 through 4 are strictly serial: scaffold → migrations → sqlc codegen → platform layer. Tasks 5–6 (middleware + event bus) can be parallelized. Tasks 7–12 (domain modules) depend on the sqlc output from Task 3 but are otherwise independent of each other.</w:t>
      </w:r>
    </w:p>
    <w:p>
      <w:pPr>
        <w:spacing w:after="120"/>
      </w:pPr>
      <w:r>
        <w:rPr>
          <w:rFonts w:ascii="Arial" w:cs="Arial" w:eastAsia="Arial" w:hAnsi="Arial"/>
          <w:b/>
          <w:bCs/>
          <w:sz w:val="22"/>
          <w:szCs w:val="22"/>
        </w:rPr>
        <w:t xml:space="preserve">Task 13 (main.go integration) is the highest-risk task</w:t>
      </w:r>
      <w:r>
        <w:rPr>
          <w:rFonts w:ascii="Arial" w:cs="Arial" w:eastAsia="Arial" w:hAnsi="Arial"/>
          <w:sz w:val="22"/>
          <w:szCs w:val="22"/>
        </w:rPr>
        <w:t xml:space="preserve">. It wires all 9 modules together for the first time. Any interface mismatch, missing dependency, or initialization-order bug will surface here. This task should be started early as a skeleton and iteratively updated as each module lands, rather than left as a final big-bang integration.</w:t>
      </w:r>
    </w:p>
    <w:p>
      <w:pPr>
        <w:pStyle w:val="Heading1"/>
        <w:spacing w:after="150" w:before="300"/>
      </w:pPr>
      <w:r>
        <w:t xml:space="preserve">Issue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4200"/>
        <w:gridCol w:w="1620"/>
        <w:gridCol w:w="3360"/>
      </w:tblGrid>
      <w:tr>
        <w:tc>
          <w:tcPr>
            <w:tcW w:type="dxa" w:w="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injection in SetTenantContext</w:t>
            </w:r>
          </w:p>
        </w:tc>
        <w:tc>
          <w:tcPr>
            <w:tcW w:type="dxa" w:w="16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A32D2D"/>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parameterized query + UUID validation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token theft undetectable</w:t>
            </w:r>
          </w:p>
        </w:tc>
        <w:tc>
          <w:tcPr>
            <w:tcW w:type="dxa" w:w="162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r>
              <w:rPr>
                <w:rFonts w:ascii="Arial" w:cs="Arial" w:eastAsia="Arial" w:hAnsi="Arial"/>
                <w:b/>
                <w:bCs/>
                <w:color w:val="A32D2D"/>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token family rotation detection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order code collision</w:t>
            </w:r>
          </w:p>
        </w:tc>
        <w:tc>
          <w:tcPr>
            <w:tcW w:type="dxa" w:w="16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PG sequence or Redis INCR</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POST is 501 but listed P0</w:t>
            </w:r>
          </w:p>
        </w:tc>
        <w:tc>
          <w:tcPr>
            <w:tcW w:type="dxa" w:w="16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or remove from P0 scope</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publish errors dropped</w:t>
            </w:r>
          </w:p>
        </w:tc>
        <w:tc>
          <w:tcPr>
            <w:tcW w:type="dxa" w:w="16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errors; consider outbox pattern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Coarse error handling</w:t>
            </w:r>
          </w:p>
        </w:tc>
        <w:tc>
          <w:tcPr>
            <w:tcW w:type="dxa" w:w="16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F6E56"/>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Distinguish ErrNoRows vs. DB failures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enum validation</w:t>
            </w:r>
          </w:p>
        </w:tc>
        <w:tc>
          <w:tcPr>
            <w:tcW w:type="dxa" w:w="16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F6E56"/>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service-layer enum checks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test strategy</w:t>
            </w:r>
          </w:p>
        </w:tc>
        <w:tc>
          <w:tcPr>
            <w:tcW w:type="dxa" w:w="16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unit + integration test tasks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graceful degradation</w:t>
            </w:r>
          </w:p>
        </w:tc>
        <w:tc>
          <w:tcPr>
            <w:tcW w:type="dxa" w:w="16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F6E56"/>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in degraded mode if Redis/NATS down</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on login</w:t>
            </w:r>
          </w:p>
        </w:tc>
        <w:tc>
          <w:tcPr>
            <w:tcW w:type="dxa" w:w="16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4F0B"/>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IP-based rate limit via Redis</w:t>
            </w:r>
          </w:p>
        </w:tc>
      </w:tr>
      <w:tr>
        <w:tc>
          <w:tcPr>
            <w:tcW w:type="dxa" w:w="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Shallow health check</w:t>
            </w:r>
          </w:p>
        </w:tc>
        <w:tc>
          <w:tcPr>
            <w:tcW w:type="dxa" w:w="16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F6E56"/>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PG/Redis/NATS in /healthz</w:t>
            </w:r>
          </w:p>
        </w:tc>
      </w:tr>
    </w:tbl>
    <w:p>
      <w:pPr>
        <w:pStyle w:val="Heading1"/>
        <w:spacing w:after="150" w:before="300"/>
      </w:pPr>
      <w:r>
        <w:t xml:space="preserve">Conclusion</w:t>
      </w:r>
    </w:p>
    <w:p>
      <w:pPr>
        <w:spacing w:after="120"/>
      </w:pPr>
      <w:r>
        <w:rPr>
          <w:rFonts w:ascii="Arial" w:cs="Arial" w:eastAsia="Arial" w:hAnsi="Arial"/>
          <w:sz w:val="22"/>
          <w:szCs w:val="22"/>
        </w:rPr>
        <w:t xml:space="preserve">The CMDB Core Phase 1 plan is a well-structured, execution-oriented blueprint for building a production-ready backend. The architecture choices (modular monolith, sqlc, ltree, NATS) are pragmatic and appropriate for the scale. The 13-task breakdown with explicit file lists and code samples makes it highly actionable for agentic or manual implementation.</w:t>
      </w:r>
    </w:p>
    <w:p>
      <w:pPr>
        <w:spacing w:after="120"/>
      </w:pPr>
      <w:r>
        <w:rPr>
          <w:rFonts w:ascii="Arial" w:cs="Arial" w:eastAsia="Arial" w:hAnsi="Arial"/>
          <w:sz w:val="22"/>
          <w:szCs w:val="22"/>
        </w:rPr>
        <w:t xml:space="preserve">The two HIGH-severity issues (SQL injection and refresh token security) should be fixed before deployment. The MEDIUM-severity items (work order collisions, missing tests, rate limiting) should be addressed before Phase 2. The LOW-severity items can be tracked as tech debt with clear ownership.</w:t>
      </w:r>
    </w:p>
    <w:p>
      <w:pPr>
        <w:spacing w:after="120"/>
      </w:pPr>
      <w:r>
        <w:rPr>
          <w:rFonts w:ascii="Arial" w:cs="Arial" w:eastAsia="Arial" w:hAnsi="Arial"/>
          <w:sz w:val="22"/>
          <w:szCs w:val="22"/>
        </w:rPr>
        <w:t xml:space="preserve">Overall assessment: ready to execute with the security fixes applied.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2026-04-03T09:19:25.869Z</dcterms:created>
  <dcterms:modified xsi:type="dcterms:W3CDTF">2026-04-03T09:19:25.870Z</dcterms:modified>
</cp:coreProperties>
</file>

<file path=docProps/custom.xml><?xml version="1.0" encoding="utf-8"?>
<Properties xmlns="http://schemas.openxmlformats.org/officeDocument/2006/custom-properties" xmlns:vt="http://schemas.openxmlformats.org/officeDocument/2006/docPropsVTypes"/>
</file>