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pPr>
      <w:r>
        <w:rPr>
          <w:rFonts w:ascii="Arial" w:hAnsi="Arial" w:eastAsia="Arial" w:cs="Arial"/>
          <w:sz w:val="24"/>
          <w:szCs w:val="24"/>
        </w:rPr>
        <w:t xml:space="preserve">بحث: أخلاقيات الأمن السيبراني – كيفية الحماية من تقنيات التتبّع</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مقدمة: مع التطور السريع في تقنيات المعلومات والاتصالات، أصبحت تقنيات التتبّع جزءًا أساسيًا من البيئة الرقمية الحديثة. تُستخدم هذه التقنيات لأغراض متعددة، منها تحسين الخدمات الرقمية، وتحليل سلوك المستخدمين، وتعزيز الأمن. إلا أن إساءة استخدامها قد تؤدي إلى انتهاك الخصوصية والتعدّي على الحقوق الشخصية. ومن هنا تبرز أهمية أخلاقيات الأمن السيبراني في وضع ضوابط تحكم استخدام هذه التقنيات، وتوفير وسائل فعّالة لحماية الأفراد من مخاطر التتبّع غير المشروع.</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أولًا: مفهوم تقنيات التتبّع: تقنيات التتبّع هي أدوات وأساليب رقمية تُستخدم لجمع معلومات عن المستخدمين أثناء تصفحهم للإنترنت أو استخدامهم للتطبيقات الذكية. وتشمل هذه المعلومات:</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المواقع الجغرافية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سجل التصفح</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البيانات الشخصية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أنماط الاستخدام والسلوك الرقمي</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ثانيًا: أخلاقيات الأمن السيبراني وعلاقتها بالخصوصية: تركّز أخلاقيات الأمن السيبراني على المبادئ التي تضمن:</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احترام خصوصية المستخدم</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الشفافية في جمع البيانات</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الحصول على موافقة المستخدم</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حماية البيانات من الاستغلال أو التسريب</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ثالثًا: مخاطر تقنيات التتبّع: من أبرز المخاطر الناتجة عن تقنيات التتبّع غير المنضبطة: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1. انتهاك الخصوصية الشخصية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2. سرقة الهوية الرقمية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3. الابتزاز الإلكتروني</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4. استغلال البيانات لأغراض غير قانونية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5. المراقبة المستمرة دون علم المستخدم</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رابعًا: كيفية الحماية من تقنيات التتبّع:</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1. استخدام أدوات الحماية الرقمية: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تثبيت برامج مكافحة الفيروسات وجدران الحماية.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استخدام متصفحات تركّز على الخصوصية.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تفعيل إضافات حظر الإعلانات وأدوات التتبّع.</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2. إدارة إعدادات الخصوصية: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تعطيل تتبّع الموقع الجغرافي غير الضروري.</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مراجعة أذونات التطبيقات بانتظام.</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الحد من مشاركة البيانات الشخصية.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3. استخدام الشبكات الآمنة: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تجنّب شبكات Wi-Fi العامة غير المحمية.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استخدام الشبكات الافتراضية الخاصة (VPN) لتشفير الاتصال.</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4. الوعي الرقمي:</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قراءة سياسات الخصوصية قبل استخدام التطبيقات.</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عدم النقر على الروابط المشبوهة.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تجنّب مشاركة المعلومات الحساسة عبر الإنترنت.</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خامسًا: الدور الأخلاقي للمستخدم والمجتمع:</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تعزيز ثقافة الوعي الأمني.</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الالتزام بالسلوك الرقمي المسؤول.</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المطالبة بقوانين تحمي الخصوصية الرقمية.</w:t>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الإبلاغ عن الانتهاكات الإلكترونية.</w:t>
      </w:r>
    </w:p>
    <w:p/>
    <w:p>
      <w:pPr>
        <w:jc w:val="left"/>
      </w:pPr>
      <w:r>
        <w:rPr>
          <w:rFonts w:ascii="Arial" w:hAnsi="Arial" w:eastAsia="Arial" w:cs="Arial"/>
          <w:sz w:val="24"/>
          <w:szCs w:val="24"/>
        </w:rPr>
        <w:t xml:space="preserve"/>
      </w:r>
    </w:p>
    <w:p/>
    <w:p>
      <w:pPr>
        <w:jc w:val="left"/>
      </w:pPr>
      <w:r>
        <w:rPr>
          <w:rFonts w:ascii="Arial" w:hAnsi="Arial" w:eastAsia="Arial" w:cs="Arial"/>
          <w:sz w:val="24"/>
          <w:szCs w:val="24"/>
        </w:rPr>
        <w:t xml:space="preserve"/>
      </w:r>
    </w:p>
    <w:p/>
    <w:p>
      <w:pPr>
        <w:jc w:val="right"/>
      </w:pPr>
      <w:r>
        <w:rPr>
          <w:rFonts w:ascii="Arial" w:hAnsi="Arial" w:eastAsia="Arial" w:cs="Arial"/>
          <w:sz w:val="24"/>
          <w:szCs w:val="24"/>
        </w:rPr>
        <w:t xml:space="preserve">خاتمة: تُعد تقنيات التتبّع سلاحًا ذا حدّين؛ فقد تسهم في تحسين الخدمات الرقمية، لكنها تشكّل خطرًا حقيقيًا إذا استُخدمت دون ضوابط أخلاقية. ومن هنا تأتي أهمية أخلاقيات الأمن السيبراني في تحقيق التوازن بين التطور التقني وحماية الخصوصية. إن التزام الأفراد والمؤسسات بهذه الأخلاقيات، إلى جانب اتباع أساليب الحماية المناسبة، يساهم في بناء بيئة رقمية أكثر أمانًا وثقة.</w:t>
      </w:r>
    </w:p>
    <w:p/>
    <w:p>
      <w:pPr>
        <w:jc w:val="left"/>
      </w:pPr>
      <w:r>
        <w:rPr>
          <w:rFonts w:ascii="Arial" w:hAnsi="Arial" w:eastAsia="Arial" w:cs="Arial"/>
          <w:sz w:val="24"/>
          <w:szCs w:val="24"/>
        </w:rPr>
        <w:t xml:space="preserve"/>
      </w:r>
    </w:p>
    <w:p/>
    <w:sectPr>
      <w:footerReference w:type="default" r:id="rId7"/>
      <w:pgSz w:orient="portrait" w:w="11905.511811023622" w:h="16837.79527559055"/>
      <w:pgMar w:top="1440" w:right="1440" w:bottom="1440" w:left="1440" w:header="720" w:footer="720" w:gutter="0"/>
      <w:pgBorders w:offsetFrom="page">
        <w:top w:val="single" w:sz="12" w:color="0000FF" w:space="24"/>
        <w:left w:val="single" w:sz="12" w:color="0000FF" w:space="24"/>
        <w:right w:val="single" w:sz="12" w:color="0000FF" w:space="24"/>
        <w:bottom w:val="single" w:sz="12" w:color="0000FF" w:space="24"/>
      </w:pgBorders>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sz w:val="20"/>
        <w:szCs w:val="20"/>
      </w:rPr>
      <w:t xml:space="preserve">Page </w:t>
    </w:r>
    <w:r>
      <w:fldChar w:fldCharType="begin"/>
    </w:r>
    <w:r>
      <w:rPr>
        <w:rFonts w:ascii="Arial" w:hAnsi="Arial" w:eastAsia="Arial" w:cs="Arial"/>
        <w:sz w:val="20"/>
        <w:szCs w:val="20"/>
      </w:rPr>
      <w:instrText xml:space="preserve">PAGE</w:instrText>
    </w:r>
    <w:r>
      <w:fldChar w:fldCharType="separate"/>
    </w:r>
    <w:r>
      <w:fldChar w:fldCharType="end"/>
    </w:r>
    <w:r>
      <w:rPr>
        <w:rFonts w:ascii="Arial" w:hAnsi="Arial" w:eastAsia="Arial" w:cs="Arial"/>
        <w:sz w:val="20"/>
        <w:szCs w:val="20"/>
      </w:rPr>
      <w:t xml:space="preserve"> From </w:t>
    </w:r>
    <w:r>
      <w:fldChar w:fldCharType="begin"/>
    </w:r>
    <w:r>
      <w:rPr>
        <w:rFonts w:ascii="Arial" w:hAnsi="Arial" w:eastAsia="Arial" w:cs="Arial"/>
        <w:sz w:val="20"/>
        <w:szCs w:val="20"/>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2025-12-28T22:12:11+03:00</dcterms:created>
  <dcterms:modified xsi:type="dcterms:W3CDTF">2025-12-28T22:12:11+03:00</dcterms:modified>
</cp:coreProperties>
</file>

<file path=docProps/custom.xml><?xml version="1.0" encoding="utf-8"?>
<Properties xmlns="http://schemas.openxmlformats.org/officeDocument/2006/custom-properties" xmlns:vt="http://schemas.openxmlformats.org/officeDocument/2006/docPropsVTypes"/>
</file>