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  <w:jc w:val="center"/>
      </w:pPr>
      <w:r>
        <w:rPr>
          <w:rFonts w:ascii="Calibri" w:hAnsi="Calibri" w:eastAsia="Microsoft YaHei"/>
          <w:b/>
          <w:color w:val="0B2545"/>
          <w:sz w:val="48"/>
        </w:rPr>
        <w:t>MSPM0G3507 官方例程</w:t>
        <w:br/>
        <w:t>比赛参考指南</w:t>
      </w:r>
    </w:p>
    <w:p>
      <w:pPr>
        <w:spacing w:after="600"/>
        <w:jc w:val="center"/>
      </w:pPr>
      <w:r>
        <w:rPr>
          <w:rFonts w:ascii="Calibri" w:hAnsi="Calibri" w:eastAsia="Microsoft YaHei"/>
          <w:color w:val="5B6778"/>
          <w:sz w:val="22"/>
        </w:rPr>
        <w:t>基于 MSPM0 SDK 2.11.00.07 | LP-MSPM0G3507 | NoRTOS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适用目标  </w:t>
            </w:r>
            <w:r>
              <w:rPr>
                <w:rFonts w:ascii="Calibri" w:hAnsi="Calibri" w:eastAsia="Microsoft YaHei"/>
                <w:sz w:val="20"/>
              </w:rPr>
              <w:t>把官方例程当作“外设初始化、SysConfig 连线、时序与中断处理”的可靠参考，而不是直接拼装成完整比赛程序。先用例程验证单模块，再抽取最小必要部分并接入自己的工程。</w:t>
            </w:r>
          </w:p>
        </w:tc>
      </w:tr>
    </w:tbl>
    <w:p>
      <w:pPr>
        <w:spacing w:before="560"/>
        <w:jc w:val="center"/>
      </w:pPr>
      <w:r>
        <w:rPr>
          <w:rFonts w:ascii="Calibri" w:hAnsi="Calibri" w:eastAsia="Microsoft YaHei"/>
          <w:b/>
          <w:color w:val="1F4D78"/>
          <w:sz w:val="20"/>
        </w:rPr>
        <w:t>官方根目录</w:t>
      </w:r>
    </w:p>
    <w:p>
      <w:pPr>
        <w:jc w:val="center"/>
      </w:pPr>
      <w:r>
        <w:rPr>
          <w:rFonts w:ascii="Calibri" w:hAnsi="Calibri" w:eastAsia="Microsoft YaHei"/>
          <w:color w:val="4B5563"/>
          <w:sz w:val="18"/>
        </w:rPr>
        <w:t>C:\TI\mspm0_sdk_2_11_00_07\examples\nortos\LP_MSPM0G3507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先看懂官方例程的组成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每个 DriverLib 示例通常由 .c、.syscfg、ti_msp_dl_config.c/.h、README.md 与 README.html 构成。README 先说明硬件连线、目标板跳帽与行为；.syscfg 是配置事实源；ti_msp_dl_config.* 是 SysConfig 生成文件；.c 才是运行逻辑。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000"/>
        <w:gridCol w:w="2160"/>
      </w:tblGrid>
      <w:tr>
        <w:trPr>
          <w:tblHeader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5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比赛时的用途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是否直接改</w:t>
            </w:r>
          </w:p>
        </w:tc>
      </w:tr>
      <w:t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README.md</w:t>
            </w:r>
          </w:p>
        </w:tc>
        <w:tc>
          <w:tcPr>
            <w:tcW w:type="dxa" w:w="50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确认例程真正做了什么、所用引脚、跳帽、外接条件。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不改；先读。</w:t>
            </w:r>
          </w:p>
        </w:tc>
      </w:tr>
      <w:t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*.syscfg</w:t>
            </w:r>
          </w:p>
        </w:tc>
        <w:tc>
          <w:tcPr>
            <w:tcW w:type="dxa" w:w="50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复现外设实例、时钟、DMA 触发源、引脚复用与中断配置。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复制思路，不覆盖自己工程。</w:t>
            </w:r>
          </w:p>
        </w:tc>
      </w:tr>
      <w:t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ti_msp_dl_config.c/.h</w:t>
            </w:r>
          </w:p>
        </w:tc>
        <w:tc>
          <w:tcPr>
            <w:tcW w:type="dxa" w:w="50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核对 SysConfig 最终生成的实例名和初始化内容。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原则上不手改；回到 SysConfig 修改。</w:t>
            </w:r>
          </w:p>
        </w:tc>
      </w:tr>
      <w:tr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示例 .c</w:t>
            </w:r>
          </w:p>
        </w:tc>
        <w:tc>
          <w:tcPr>
            <w:tcW w:type="dxa" w:w="50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学习启动顺序、事件/中断标志清除、缓冲区与状态机。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只提取最小逻辑。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赛时顺序  </w:t>
            </w:r>
            <w:r>
              <w:rPr>
                <w:rFonts w:ascii="Calibri" w:hAnsi="Calibri" w:eastAsia="Microsoft YaHei"/>
                <w:sz w:val="20"/>
              </w:rPr>
              <w:t>README → SysConfig → 编译运行原例程 → 只复制本模块需要的初始化与 ISR 逻辑 → 改成你自己的缓冲区、引脚和参数。不要先从示例 .c 盲目复制。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比赛任务选例程：快速索引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550"/>
        <w:gridCol w:w="3960"/>
      </w:tblGrid>
      <w:tr>
        <w:trPr>
          <w:tblHeader w:val="true"/>
        </w:trPr>
        <w:tc>
          <w:tcPr>
            <w:tcW w:type="dxa" w:w="1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你的任务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先参考的官方例程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用它解决什么</w:t>
            </w:r>
          </w:p>
        </w:tc>
      </w:tr>
      <w:tr>
        <w:tc>
          <w:tcPr>
            <w:tcW w:type="dxa" w:w="18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单路定时采样</w:t>
            </w:r>
          </w:p>
        </w:tc>
        <w:tc>
          <w:tcPr>
            <w:tcW w:type="dxa" w:w="3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adc12_triggered_by_timer_event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TimerG 发布事件触发 ADC，保证采样间隔由硬件定时器决定。</w:t>
            </w:r>
          </w:p>
        </w:tc>
      </w:tr>
      <w:tr>
        <w:tc>
          <w:tcPr>
            <w:tcW w:type="dxa" w:w="18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连续采样并装入数组</w:t>
            </w:r>
          </w:p>
        </w:tc>
        <w:tc>
          <w:tcPr>
            <w:tcW w:type="dxa" w:w="3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adc12_max_freq_dma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 结果触发 DMA；1024 点到数组后产生 DMA 完成中断。</w:t>
            </w:r>
          </w:p>
        </w:tc>
      </w:tr>
      <w:tr>
        <w:tc>
          <w:tcPr>
            <w:tcW w:type="dxa" w:w="18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XY 双路同步采样</w:t>
            </w:r>
          </w:p>
        </w:tc>
        <w:tc>
          <w:tcPr>
            <w:tcW w:type="dxa" w:w="3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adc12_simultaneous_trigger_event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ADC0 与 ADC1 接收独立事件通道并同时由 TimerG 触发。</w:t>
            </w:r>
          </w:p>
        </w:tc>
      </w:tr>
      <w:tr>
        <w:tc>
          <w:tcPr>
            <w:tcW w:type="dxa" w:w="18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频率、周期、占空比</w:t>
            </w:r>
          </w:p>
        </w:tc>
        <w:tc>
          <w:tcPr>
            <w:tcW w:type="dxa" w:w="3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timx_timer_mode_capture_edge_capture / capture_duty_and_period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使用 TimerG 捕获边沿或组合捕获，而不是 CPU 轮询计时。</w:t>
            </w:r>
          </w:p>
        </w:tc>
      </w:tr>
      <w:tr>
        <w:tc>
          <w:tcPr>
            <w:tcW w:type="dxa" w:w="18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SPI 屏幕或外设</w:t>
            </w:r>
          </w:p>
        </w:tc>
        <w:tc>
          <w:tcPr>
            <w:tcW w:type="dxa" w:w="3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spi_controller_multibyte_fifo_poll / spi_controller_fifo_dma_interrupts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先实现控制器发送，再根据数据量决定 FIFO 轮询或 DMA。</w:t>
            </w:r>
          </w:p>
        </w:tc>
      </w:tr>
      <w:tr>
        <w:tc>
          <w:tcPr>
            <w:tcW w:type="dxa" w:w="18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串口调试或上位机</w:t>
            </w:r>
          </w:p>
        </w:tc>
        <w:tc>
          <w:tcPr>
            <w:tcW w:type="dxa" w:w="3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uart_rw_multibyte_fifo_poll / uart_rx_multibyte_fifo_dma_interrupts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分别对应简单日志与连续接收。</w:t>
            </w:r>
          </w:p>
        </w:tc>
      </w:tr>
      <w:tr>
        <w:tc>
          <w:tcPr>
            <w:tcW w:type="dxa" w:w="18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DAC / PWM 波形输出</w:t>
            </w:r>
          </w:p>
        </w:tc>
        <w:tc>
          <w:tcPr>
            <w:tcW w:type="dxa" w:w="3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dac12_fifo_timer_event / timx_timer_mode_pwm_edge_sleep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用定时器事件驱动 DAC 或 PWM，避免主循环抖动。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信号题最关键：ADC、DMA 与同步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ADC 单次、定时、序列与窗口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例程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它做什么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比赛中何时参考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adc12_single_conversion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软件启动一次 ADC 转换并读取结果。</w:t>
            </w:r>
          </w:p>
        </w:tc>
        <w:tc>
          <w:tcPr>
            <w:tcW w:type="dxa" w:w="3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刚接入模拟量时，先确认引脚、参考电压和量程没有问题。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adc12_triggered_by_timer_event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TimerG 事件触发 ADC0。</w:t>
            </w:r>
          </w:p>
        </w:tc>
        <w:tc>
          <w:tcPr>
            <w:tcW w:type="dxa" w:w="3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需要固定 Fs 时的第一参考；适合波形采样、RMS、频谱。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adc12_sequence_conversion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一个 ADC 实例按序列转换多个通道。</w:t>
            </w:r>
          </w:p>
        </w:tc>
        <w:tc>
          <w:tcPr>
            <w:tcW w:type="dxa" w:w="3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同一 ADC 的低速多路量测；不用于要求严格同步的 XY 相位。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adc12_window_comparator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 结果跨过设定窗口时产生事件。</w:t>
            </w:r>
          </w:p>
        </w:tc>
        <w:tc>
          <w:tcPr>
            <w:tcW w:type="dxa" w:w="3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阈值报警、过压/欠压、简单触发，不适合代替完整采样链。</w:t>
            </w:r>
          </w:p>
        </w:tc>
      </w:tr>
      <w:tr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adc12_monitor_supply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监视供电相关 ADC 测量。</w:t>
            </w:r>
          </w:p>
        </w:tc>
        <w:tc>
          <w:tcPr>
            <w:tcW w:type="dxa" w:w="3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比赛现场怀疑供电或基准不稳时作诊断参考。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ADC + DMA：把 CPU 从采样搬运中解放出来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0B2545"/>
          <w:sz w:val="21"/>
        </w:rPr>
        <w:t>核心含义：</w:t>
      </w:r>
      <w:r>
        <w:rPr>
          <w:rFonts w:ascii="Calibri" w:hAnsi="Calibri" w:eastAsia="Microsoft YaHei"/>
          <w:sz w:val="21"/>
        </w:rPr>
        <w:t>官方 adc12_max_freq_dma 使用 ADC 新结果事件触发 DMA，把 1024 个 12 位结果搬到 gADCSamples；缓冲区填满后进入 DMA done 中断。这个模型适合“采样块完成后再做 FFT、相关、RMS 或显示”的比赛任务。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sz w:val="20"/>
        </w:rPr>
        <w:t>DMA 触发源必须是 ADC 的新结果/转换完成事件；不要在 ADC ISR 里逐点 memcpy。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sz w:val="20"/>
        </w:rPr>
        <w:t>DMA 完成只表示一块数据搬完，不等于下一块已准备好；连续采样应设计 ping-pong 或软件状态机。</w:t>
      </w:r>
    </w:p>
    <w:p>
      <w:pPr>
        <w:pStyle w:val="ListBullet"/>
        <w:spacing w:after="60" w:line="288" w:lineRule="auto"/>
      </w:pPr>
      <w:r>
        <w:rPr>
          <w:rFonts w:ascii="Calibri" w:hAnsi="Calibri" w:eastAsia="Microsoft YaHei"/>
          <w:sz w:val="20"/>
        </w:rPr>
        <w:t>先固定 N、Fs、缓冲区元素类型，再接算法。FFT 的 N 和采样率不能只看 SysConfig 默认值。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双 ADC 同步：相位与李萨如图的起点</w:t>
      </w:r>
    </w:p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adc12_simultaneous_trigger_event 使用 ADC0/ADC1、TimerG 和事件路由；README 标注 LP-MSPM0G3507 上 ADC0 为 PA25、ADC1 为 PA17。示例还演示硬件平均，但其 1 秒触发与 LED 比较仅用于演示，不能直接当作高速双通道信号链。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比赛迁移规则  </w:t>
            </w:r>
            <w:r>
              <w:rPr>
                <w:rFonts w:ascii="Calibri" w:hAnsi="Calibri" w:eastAsia="Microsoft YaHei"/>
                <w:sz w:val="20"/>
              </w:rPr>
              <w:t>要保留“同一 Timer 触发 + 两路硬件事件/ADC 配置”的结构；要替换触发频率、采样数组、DMA 链路和后处理。不要用两个软件启动函数代替同步触发。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定时器：采样率、PWM 与测频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600"/>
        <w:gridCol w:w="3860"/>
      </w:tblGrid>
      <w:tr>
        <w:trPr>
          <w:tblHeader w:val="true"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例程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比赛可直接借鉴的部分</w:t>
            </w:r>
          </w:p>
        </w:tc>
      </w:tr>
      <w:tr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timx_timer_mode_periodic_*</w:t>
            </w:r>
          </w:p>
        </w:tc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周期计时、低功耗模式恢复。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周期任务节拍；信号处理不应放在超高频定时器 ISR。</w:t>
            </w:r>
          </w:p>
        </w:tc>
      </w:tr>
      <w:tr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timx_timer_mode_capture_edge_capture</w:t>
            </w:r>
          </w:p>
        </w:tc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记录捕获启动到输入边沿的时间。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边沿到达判定、单次延时测量、外部触发诊断。</w:t>
            </w:r>
          </w:p>
        </w:tc>
      </w:tr>
      <w:tr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timx_timer_mode_capture_duty_and_period</w:t>
            </w:r>
          </w:p>
        </w:tc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组合捕获 PWM 周期和高电平宽度。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方波频率/占空比测量；先换算定时器时钟再算频率。</w:t>
            </w:r>
          </w:p>
        </w:tc>
      </w:tr>
      <w:tr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timg_qei_mode</w:t>
            </w:r>
          </w:p>
        </w:tc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编码器正交计数。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电机/位移题才用；普通信号题通常不需要。</w:t>
            </w:r>
          </w:p>
        </w:tc>
      </w:tr>
      <w:tr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timx_timer_mode_pwm_edge_sleep</w:t>
            </w:r>
          </w:p>
        </w:tc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硬件 PWM 输出，包含低功耗工作方式。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激励、方波输出、可控占空比；输出频率由 timer clock、分频和 load 共同决定。</w:t>
            </w:r>
          </w:p>
        </w:tc>
      </w:tr>
      <w:tr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tima_timer_mode_pwm_dead_band</w:t>
            </w:r>
          </w:p>
        </w:tc>
        <w:tc>
          <w:tcPr>
            <w:tcW w:type="dxa" w:w="26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带死区 PWM。</w:t>
            </w:r>
          </w:p>
        </w:tc>
        <w:tc>
          <w:tcPr>
            <w:tcW w:type="dxa" w:w="38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半桥/电机驱动；不要用于普通 DAC 替代。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测频决策  </w:t>
            </w:r>
            <w:r>
              <w:rPr>
                <w:rFonts w:ascii="Calibri" w:hAnsi="Calibri" w:eastAsia="Microsoft YaHei"/>
                <w:sz w:val="20"/>
              </w:rPr>
              <w:t>规则方波/脉冲优先用 Capture；模拟正弦波先用 ADC + 算法；不要把 GPIO 轮询计边当作高频测频方案。用示波器或定时器输出先确认 Fs，再调算法。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通信与显示：先跑通最小链路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300"/>
        <w:gridCol w:w="4610"/>
      </w:tblGrid>
      <w:tr>
        <w:trPr>
          <w:tblHeader w:val="true"/>
        </w:trPr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接口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官方例程层级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比赛建议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SPI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internal_loopback_poll → multibyte_fifo_poll → fifo_dma_interrupts</w:t>
            </w:r>
          </w:p>
        </w:tc>
        <w:tc>
          <w:tcPr>
            <w:tcW w:type="dxa" w:w="4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先内环/轮询发一个命令；屏幕刷新量大再加 DMA。SPI DMA 示例需配对另一设备，重点借鉴 TX/RX DMA 结构。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UART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rw_multibyte_fifo_poll → echo_interrupts → rx/tx FIFO DMA</w:t>
            </w:r>
          </w:p>
        </w:tc>
        <w:tc>
          <w:tcPr>
            <w:tcW w:type="dxa" w:w="4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日志输出用 poll 最简单；上位机连续接收或协议帧再用中断/DMA。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I2C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controller_rw_multibyte_fifo_poll → FIFO interrupts → repeated start</w:t>
            </w:r>
          </w:p>
        </w:tc>
        <w:tc>
          <w:tcPr>
            <w:tcW w:type="dxa" w:w="4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传感器读写优先 controller；先处理 ACK、地址和读写时序，再做协议封装。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GPIO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gpio_toggle_output / gpio_input_capture / simultaneous_interrupts</w:t>
            </w:r>
          </w:p>
        </w:tc>
        <w:tc>
          <w:tcPr>
            <w:tcW w:type="dxa" w:w="4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LED/按键/临时诊断；高速采样链不要持续靠 GPIO 翻转观测。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CAN / LIN</w:t>
            </w:r>
          </w:p>
        </w:tc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mcan_*、lin、comm_modules</w:t>
            </w:r>
          </w:p>
        </w:tc>
        <w:tc>
          <w:tcPr>
            <w:tcW w:type="dxa" w:w="4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题目明确要求总线通信再使用；不是显示或普通串口的替代品。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LP-MSPM0G3507 的 spi_controller_fifo_dma_interrupts README 给出的 SPI1 演示映射为 PB9 SCLK、PB8 PICO、PB7 POCI、PB17 CS1。屏幕模块的实际 CS/DC/RESET/背光脚通常与该例程不同，因此只能借用 SPI 初始化和 DMA 框架，不能照抄引脚。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模拟前端、事件与算法加速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500"/>
        <w:gridCol w:w="3810"/>
      </w:tblGrid>
      <w:tr>
        <w:trPr>
          <w:tblHeader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方向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代表例程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什么时候值得看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片内运放 / 可编程增益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opa_general_purpose_rri、opa_non_inverting_pga、opa_signal_chain_to_adc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小信号放大、偏置、ADC 前级；先核对芯片资源与模拟引脚连接。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通用模拟放大器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gpamp_general_purpose_rri、gpamp_buffer_to_adc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缓冲、阻抗匹配、把前端接入 ADC；适合验证模拟链后再写算法。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比较器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comp_analog_filter、comp_dac_to_timer_event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阈值触发、零交叉/边沿整形；连续波形参数仍应由 Capture 或 ADC 负责。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DAC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dac12_fixed_voltage_vref_internal、dac12_fifo_timer_event、dac12_dma_sampletimegen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直流基准、查表波形、受 Timer 驱动输出；必须配合重建滤波考虑。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MathACL / DSP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mathacl_mpy_div_op、mathacl_trig_op、cmsis_dsp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确定算法是瓶颈后再加速；先用 CPU 版本对照验证数值正确。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其余官方大类：知道它们的边界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500"/>
        <w:gridCol w:w="3610"/>
      </w:tblGrid>
      <w:tr>
        <w:trPr>
          <w:tblHeader w:val="true"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大类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信号题赛时判断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demos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整板或功能演示。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可用于理解板载资源；不应整包搬进比赛工程。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drivers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TI Drivers 高层抽象示例。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当前 DriverLib 工程就继续用 DriverLib，避免赛时混用两套 API。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cmsis_dsp / iqmath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数学库、滤波、变换、定点计算。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FFT、滤波、坐标变换有明确需求时参考；先固定数据格式和缩放。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comm_modules / modbus / pmbus / smbus / dali / lin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各类协议栈和通信模块。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题目点名总线或工业协议时再启用；否则成本高于收益。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motor_control_*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BLDC/PMSM FOC 与电机控制。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电机题专用；普通信号处理题不要引入。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energy_metrology / mpesti / battery_gauge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电能计量、参数估计、电池计量。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计量或电源管理题可借鉴，通用波形测量题通常不需要。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boot_manager / bsl / eeprom / flashctl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升级、引导、非易失数据保存。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需要保存标定值或现场升级才看；先保证主功能。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edgeAI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边缘 AI 推理示例。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仅限题目明确要求分类/识别且已验证模型；不要当通用算法库。</w:t>
            </w:r>
          </w:p>
        </w:tc>
      </w:tr>
      <w:tr>
        <w:tc>
          <w:tcPr>
            <w:tcW w:type="dxa" w:w="2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msp_subsystems / sysctl / rtc / wwdt</w:t>
            </w:r>
          </w:p>
        </w:tc>
        <w:tc>
          <w:tcPr>
            <w:tcW w:type="dxa" w:w="3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时钟、电源、RTC、看门狗等系统资源。</w:t>
            </w:r>
          </w:p>
        </w:tc>
        <w:tc>
          <w:tcPr>
            <w:tcW w:type="dxa" w:w="36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时钟/低功耗/可靠性问题时参考；对 Fs 必须读真实时钟配置。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比赛现场的安全参考流程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700"/>
        <w:gridCol w:w="3560"/>
      </w:tblGrid>
      <w:tr>
        <w:trPr>
          <w:tblHeader w:val="true"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验收标准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1. 定位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按功能在 driverlib 目录选择一个最接近的官方例程，并先读 README。</w:t>
            </w:r>
          </w:p>
        </w:tc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知道所用外设、引脚、外接条件和例程输入输出。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2. 独立验证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在官方工程中只改最少参数，编译、烧录、测量板上实际行为。</w:t>
            </w:r>
          </w:p>
        </w:tc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示波器/串口/LED 能证明该模块工作。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3. 移植配置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在自己工程的 SysConfig 复现资源；不要直接手改生成文件。</w:t>
            </w:r>
          </w:p>
        </w:tc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生成的实例名、引脚、IRQ、DMA 事件与代码一致。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4. 接入主链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先把模块输出接到最小处理逻辑，再接显示和高级算法。</w:t>
            </w:r>
          </w:p>
        </w:tc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每增加一层都能保留可观测量。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5. 冻结与备份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功能可用后备份工程和参数；最后阶段只做单点改动。</w:t>
            </w:r>
          </w:p>
        </w:tc>
        <w:tc>
          <w:tcPr>
            <w:tcW w:type="dxa" w:w="35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有可回退版本；不会因重配 SysConfig 破坏已验证模块。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不要直接照抄  </w:t>
            </w:r>
            <w:r>
              <w:rPr>
                <w:rFonts w:ascii="Calibri" w:hAnsi="Calibri" w:eastAsia="Microsoft YaHei"/>
                <w:sz w:val="20"/>
              </w:rPr>
              <w:t>示例的引脚、跳帽、时钟频率、缓冲区大小、低功耗策略和 LED 判定条件都是演示条件。比赛工程只应复用外设工作机制；所有资源冲突、采样率、量程和信号前端都必须按你的题目重新核对。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建议优先级：信号题最小参考集合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00"/>
        <w:gridCol w:w="3760"/>
      </w:tblGrid>
      <w:tr>
        <w:trPr>
          <w:tblHeader w:val="true"/>
        </w:trP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先保存/熟悉的例程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adc12_triggered_by_timer_event；adc12_max_freq_dma；dma_block_transfer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建立稳定的 Timer → ADC → DMA → buffer 基础链。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adc12_simultaneous_trigger_event；timx_timer_mode_capture_duty_and_period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双路同步采样与方波频率/占空比两种核心测量路径。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spi_controller_multibyte_fifo_poll；uart_rw_multibyte_fifo_poll；gpio_input_capture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显示、串口日志、按键/中断的最小可靠接口。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dac12_fifo_timer_event；timx_timer_mode_pwm_edge_sleep；opa_signal_chain_to_adc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激励输出与模拟前端题目时快速参考。</w:t>
            </w:r>
          </w:p>
        </w:tc>
      </w:tr>
      <w:tr>
        <w:tc>
          <w:tcPr>
            <w:tcW w:type="dxa" w:w="9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P2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cmsis_dsp；mathacl_*；I2C/SPI/UART DMA 例程</w:t>
            </w:r>
          </w:p>
        </w:tc>
        <w:tc>
          <w:tcPr>
            <w:tcW w:type="dxa" w:w="3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性能或外设吞吐确实不足时再引入。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Microsoft YaHei"/>
          <w:sz w:val="21"/>
        </w:rPr>
        <w:t>本指南的目录和例程名称均来自本机已安装的 MSPM0 SDK 2.11.00.07。阅读和移植前，请再次以对应 README.md 与目标芯片/开发板的 SysConfig 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MSPM0G3507 官方例程比赛参考指南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