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header3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2e8ca1"/>
        <w:pBdr>
          <w:bottom/>
        </w:pBdr>
        <w:ind/>
        <w:rPr/>
      </w:pPr>
      <w:r>
        <w:rPr/>
        <w:t>《</w:t>
      </w:r>
      <w:r>
        <w:rPr>
          <w:rFonts w:hint="eastAsia"/>
        </w:rPr>
        <w:t>A股</w:t>
      </w:r>
      <w:r>
        <w:rPr/>
        <w:t>小市值策略手册</w:t>
      </w:r>
      <w:r>
        <w:rPr>
          <w:i w:val="0"/>
          <w:strike w:val="0"/>
          <w:spacing w:val="0"/>
          <w:u w:val="none"/>
        </w:rPr>
        <w:t>（公开版）</w:t>
      </w:r>
      <w:r>
        <w:rPr/>
        <w:t>》</w:t>
      </w:r>
    </w:p>
    <w:p>
      <w:pPr>
        <w:pStyle w:val="b74117"/>
        <w:ind/>
        <w:rPr>
          <w:rFonts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1、策略简介</w:t>
      </w:r>
    </w:p>
    <w:p>
      <w:pPr>
        <w:pStyle w:val="a4aaa5"/>
        <w:numPr>
          <w:ilvl w:val="0"/>
          <w:numId w:val="1"/>
        </w:numPr>
        <w:rPr/>
      </w:pPr>
      <w:r>
        <w:rPr/>
        <w:t>1.1什么是小市值策略？</w:t>
      </w:r>
    </w:p>
    <w:p>
      <w:pPr>
        <w:pBdr/>
        <w:snapToGrid w:val="1"/>
        <w:spacing w:line="240"/>
        <w:ind w:leftChars="200" w:firstLineChars="200"/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</w:pPr>
      <w:r>
        <w:rPr>
          <w:rFonts w:hint="eastAsia" w:ascii="Microsoft YaHei UI" w:hAnsi="Microsoft YaHei UI" w:eastAsia="Microsoft YaHei UI"/>
        </w:rPr>
        <w:t>在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A 股市场存在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著名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的“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小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 xml:space="preserve">市值效应”，即 </w:t>
      </w:r>
      <w:r>
        <w:rPr>
          <w:rFonts w:ascii="Microsoft YaHei UI" w:hAnsi="Microsoft YaHei UI" w:eastAsia="Microsoft YaHei UI" w:cs="Microsoft YaHei UI"/>
          <w:b w:val="1"/>
          <w:i w:val="0"/>
          <w:strike w:val="0"/>
          <w:spacing w:val="0"/>
          <w:u w:val="single"/>
        </w:rPr>
        <w:t>A 股市场市值最小的股票的组合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在历史上取得过很高的绝对收益。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具体的收益有多高呢？如果选择A股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总市值最小 100 只股票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来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构成的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一个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组合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，按日、周、月轮动，详细回测结果如下。</w:t>
      </w:r>
    </w:p>
    <w:p>
      <w:pPr>
        <w:pBdr/>
        <w:snapToGrid w:val="1"/>
        <w:spacing w:line="240"/>
        <w:ind w:leftChars="200" w:firstLineChars="200"/>
        <w:rPr>
          <w:rFonts w:hint="eastAsia"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drawing>
          <wp:inline distT="0" distB="0" distL="0" distR="0">
            <wp:extent cx="5909310" cy="302341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>
                      <a:off x="0" y="0"/>
                      <a:ext cx="5909310" cy="302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line="240"/>
        <w:ind w:leftChars="200" w:firstLineChars="200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drawing>
          <wp:inline distT="0" distB="0" distL="0" distR="0">
            <wp:extent cx="5909310" cy="387872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>
                      <a:off x="0" y="0"/>
                      <a:ext cx="5909310" cy="387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line="240"/>
        <w:ind w:leftChars="200" w:firstLineChars="200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如图显示，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 xml:space="preserve">小市值 100 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月轮动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组合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的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策略年化收益率高达 43.1%，</w:t>
      </w:r>
      <w:r>
        <w:rPr>
          <w:rFonts w:hint="eastAsia" w:ascii="Microsoft YaHei UI" w:hAnsi="Microsoft YaHei UI" w:eastAsia="Microsoft YaHei UI"/>
        </w:rPr>
        <w:t>在近10年时间内组合的净值从1增长到30，如果投入10万元，资产将会变为300万左右。</w:t>
      </w:r>
    </w:p>
    <w:p>
      <w:pPr>
        <w:pBdr>
          <w:bottom/>
        </w:pBdr>
        <w:snapToGrid w:val="1"/>
        <w:spacing w:line="240"/>
        <w:ind w:leftChars="200" w:firstLineChars="200"/>
        <w:rPr>
          <w:rFonts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因此、小市值策略是</w:t>
      </w:r>
      <w:r>
        <w:rPr>
          <w:rFonts w:hint="eastAsia" w:ascii="Microsoft YaHei UI" w:hAnsi="Microsoft YaHei UI" w:eastAsia="Microsoft YaHei UI"/>
          <w:b w:val="1"/>
          <w:color w:val="B86014"/>
          <w:u w:val="single"/>
          <w:shd w:val="clear" w:color="auto" w:fill="auto"/>
        </w:rPr>
        <w:t>在A股小市值股票的历史表现和原因分析基础上，找出规律、解释</w:t>
      </w:r>
      <w:r>
        <w:rPr>
          <w:rFonts w:hint="eastAsia" w:ascii="Microsoft YaHei UI" w:hAnsi="Microsoft YaHei UI" w:eastAsia="Microsoft YaHei UI"/>
          <w:b w:val="1"/>
          <w:color w:val="B86014"/>
          <w:u w:val="single"/>
          <w:shd w:val="clear" w:color="auto" w:fill="auto"/>
          <w:lang/>
        </w:rPr>
        <w:t>内在</w:t>
      </w:r>
      <w:r>
        <w:rPr>
          <w:rFonts w:hint="eastAsia" w:ascii="Microsoft YaHei UI" w:hAnsi="Microsoft YaHei UI" w:eastAsia="Microsoft YaHei UI"/>
          <w:b w:val="1"/>
          <w:color w:val="B86014"/>
          <w:u w:val="single"/>
          <w:shd w:val="clear" w:color="auto" w:fill="auto"/>
        </w:rPr>
        <w:t>逻辑，并进行数据回溯验证，最终尝试形成一个将来存在高收益可能性</w:t>
      </w:r>
      <w:r>
        <w:rPr>
          <w:rFonts w:hint="eastAsia" w:ascii="Microsoft YaHei UI" w:hAnsi="Microsoft YaHei UI" w:eastAsia="Microsoft YaHei UI"/>
        </w:rPr>
        <w:t>的资产组合策略。</w:t>
      </w:r>
    </w:p>
    <w:p>
      <w:pPr>
        <w:pStyle w:val="a4aaa5"/>
        <w:numPr>
          <w:ilvl w:val="0"/>
          <w:numId w:val="1"/>
        </w:numPr>
        <w:rPr/>
      </w:pPr>
      <w:r>
        <w:rPr/>
        <w:t>1.2 超高收益的成因分析</w:t>
      </w:r>
    </w:p>
    <w:p>
      <w:pPr>
        <w:pStyle w:val="e7dc85"/>
        <w:numPr/>
        <w:ind w:firstLineChars="200"/>
        <w:rPr/>
      </w:pPr>
      <w:r>
        <w:rPr/>
        <w:t>1.2.1 规模效应</w:t>
      </w:r>
    </w:p>
    <w:p>
      <w:pPr>
        <w:pBdr/>
        <w:snapToGrid w:val="1"/>
        <w:spacing w:line="240"/>
        <w:ind w:leftChars="200" w:firstLineChars="200"/>
        <w:rPr>
          <w:rFonts w:hint="eastAsia" w:ascii="Microsoft YaHei UI" w:hAnsi="Microsoft YaHei UI" w:eastAsia="Microsoft YaHei UI"/>
        </w:rPr>
      </w:pP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1992 年，诺贝尔经济学奖得主尤金·法玛Eugene F. Fama 和 肯尼斯·弗伦奇Kenneth French 发表了探讨三因子模型的论文，并在 1993 年正式提出三因子模型。Fama 三因子模型中包含市值因子、账面市值比因子【简单理解为 低PB】和市场风险因子，研究发现，</w:t>
      </w:r>
      <w:r>
        <w:rPr>
          <w:rFonts w:ascii="Microsoft YaHei UI" w:hAnsi="Microsoft YaHei UI" w:eastAsia="Microsoft YaHei UI" w:cs="Microsoft YaHei UI"/>
          <w:b w:val="1"/>
          <w:i w:val="0"/>
          <w:strike w:val="0"/>
          <w:spacing w:val="0"/>
          <w:u w:val="single"/>
        </w:rPr>
        <w:t>小</w:t>
      </w:r>
      <w:r>
        <w:rPr>
          <w:rFonts w:hint="eastAsia" w:ascii="Microsoft YaHei UI" w:hAnsi="Microsoft YaHei UI" w:eastAsia="Microsoft YaHei UI" w:cs="Microsoft YaHei UI"/>
          <w:b w:val="1"/>
          <w:i w:val="0"/>
          <w:strike w:val="0"/>
          <w:spacing w:val="0"/>
          <w:u w:val="single"/>
        </w:rPr>
        <w:t>市值</w:t>
      </w:r>
      <w:r>
        <w:rPr>
          <w:rFonts w:ascii="Microsoft YaHei UI" w:hAnsi="Microsoft YaHei UI" w:eastAsia="Microsoft YaHei UI" w:cs="Microsoft YaHei UI"/>
          <w:b w:val="1"/>
          <w:i w:val="0"/>
          <w:strike w:val="0"/>
          <w:spacing w:val="0"/>
          <w:u w:val="single"/>
        </w:rPr>
        <w:t>公司股票、以及具有较高账面市值比</w:t>
      </w:r>
      <w:r>
        <w:rPr>
          <w:rFonts w:hint="eastAsia" w:ascii="Microsoft YaHei UI" w:hAnsi="Microsoft YaHei UI" w:eastAsia="Microsoft YaHei UI" w:cs="Microsoft YaHei UI"/>
          <w:b w:val="1"/>
          <w:i w:val="0"/>
          <w:strike w:val="0"/>
          <w:spacing w:val="0"/>
          <w:u w:val="single"/>
        </w:rPr>
        <w:t>的</w:t>
      </w:r>
      <w:r>
        <w:rPr>
          <w:rFonts w:ascii="Microsoft YaHei UI" w:hAnsi="Microsoft YaHei UI" w:eastAsia="Microsoft YaHei UI" w:cs="Microsoft YaHei UI"/>
          <w:b w:val="1"/>
          <w:i w:val="0"/>
          <w:strike w:val="0"/>
          <w:spacing w:val="0"/>
          <w:u w:val="single"/>
        </w:rPr>
        <w:t>股票历史平均收益率一般会高于 CAPM</w:t>
      </w:r>
      <w:r>
        <w:rPr>
          <w:rFonts w:hint="eastAsia" w:ascii="Microsoft YaHei UI" w:hAnsi="Microsoft YaHei UI" w:eastAsia="Microsoft YaHei UI" w:cs="Microsoft YaHei UI"/>
          <w:b w:val="1"/>
          <w:i w:val="0"/>
          <w:strike w:val="0"/>
          <w:spacing w:val="0"/>
          <w:u w:val="single"/>
        </w:rPr>
        <w:t>资产定价</w:t>
      </w:r>
      <w:r>
        <w:rPr>
          <w:rFonts w:ascii="Microsoft YaHei UI" w:hAnsi="Microsoft YaHei UI" w:eastAsia="Microsoft YaHei UI" w:cs="Microsoft YaHei UI"/>
          <w:b w:val="1"/>
          <w:i w:val="0"/>
          <w:strike w:val="0"/>
          <w:spacing w:val="0"/>
          <w:u w:val="single"/>
        </w:rPr>
        <w:t>模型所预测的收益率。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自此，小市值投资策略被广泛关注。</w:t>
      </w:r>
    </w:p>
    <w:p>
      <w:pPr>
        <w:pBdr/>
        <w:snapToGrid w:val="1"/>
        <w:spacing w:line="240"/>
        <w:ind w:leftChars="200" w:firstLineChars="200"/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</w:pP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规模效应理论认为，投资者面对小公司的高风险，更倾向于要求小公司股票拥有更高的收益率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，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新兴市场的规模溢价效应通常更为明显。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从实际情况来看，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中国 A 股市场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确实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长期存在的规模溢价现象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，</w:t>
      </w:r>
      <w:r>
        <w:rPr>
          <w:rFonts w:hint="eastAsia" w:ascii="Microsoft YaHei UI" w:hAnsi="Microsoft YaHei UI" w:eastAsia="Microsoft YaHei UI" w:cs="Microsoft YaHei UI"/>
          <w:b w:val="1"/>
          <w:i w:val="0"/>
          <w:strike w:val="0"/>
          <w:spacing w:val="0"/>
          <w:u w:val="single"/>
        </w:rPr>
        <w:t>投资小市值的A股公司，往往</w:t>
      </w:r>
      <w:r>
        <w:rPr>
          <w:rFonts w:ascii="Microsoft YaHei UI" w:hAnsi="Microsoft YaHei UI" w:eastAsia="Microsoft YaHei UI" w:cs="Microsoft YaHei UI"/>
          <w:b w:val="1"/>
          <w:i w:val="0"/>
          <w:strike w:val="0"/>
          <w:spacing w:val="0"/>
          <w:u w:val="single"/>
        </w:rPr>
        <w:t>有更高的收益率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。</w:t>
      </w:r>
    </w:p>
    <w:p>
      <w:pPr>
        <w:pStyle w:val="e7dc85"/>
        <w:numPr/>
        <w:ind w:firstLineChars="200"/>
        <w:rPr/>
      </w:pPr>
      <w:r>
        <w:rPr/>
        <w:t>1.2.2 投资者结构</w:t>
      </w:r>
    </w:p>
    <w:p>
      <w:pPr>
        <w:pBdr/>
        <w:snapToGrid w:val="1"/>
        <w:spacing w:line="240"/>
        <w:ind w:leftChars="200" w:firstLineChars="200"/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</w:pPr>
      <w:r>
        <w:rPr>
          <w:rFonts w:hint="eastAsia" w:ascii="Microsoft YaHei UI" w:hAnsi="Microsoft YaHei UI" w:eastAsia="Microsoft YaHei UI"/>
        </w:rPr>
        <w:t>我国股市的投资者历史上呈现出以“散户为主”的特点，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2004 年我国股市个人投资者比例 78%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，随着市场的发展，逐年下降至2024年占比为31.24%，但交易活跃，仍占有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约70%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的最大交易量比例，具体比例如下：</w:t>
      </w:r>
    </w:p>
    <w:p>
      <w:pPr>
        <w:pBdr/>
        <w:snapToGrid w:val="1"/>
        <w:spacing w:line="240"/>
        <w:ind w:leftChars="200" w:firstLineChars="200"/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</w:pPr>
      <w:r>
        <w:rPr>
          <w:rFonts w:ascii="Microsoft YaHei UI" w:hAnsi="Microsoft YaHei UI" w:eastAsia="Microsoft YaHei UI"/>
        </w:rPr>
        <w:drawing>
          <wp:inline distT="0" distB="0" distL="0" distR="0">
            <wp:extent cx="5909310" cy="1875806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15"/>
                    <a:stretch/>
                  </pic:blipFill>
                  <pic:spPr>
                    <a:xfrm>
                      <a:off x="0" y="0"/>
                      <a:ext cx="5909310" cy="187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/>
        </w:rPr>
        <w:t xml:space="preserve">    </w:t>
        <w:tab/>
        <w:t xml:space="preserve">  由于一般法人即公司大股东，仅通过回购或增持等手段，发挥逆周期调节作用。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个人投资者仍是最大单一群体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，据统计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76%的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个人投资者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依赖社交媒体获取信息，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容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易受市场情绪影响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，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顺周期性强，追涨杀跌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。</w:t>
      </w:r>
    </w:p>
    <w:p>
      <w:pPr>
        <w:pBdr>
          <w:bottom/>
        </w:pBdr>
        <w:snapToGrid w:val="1"/>
        <w:spacing w:line="240"/>
        <w:ind w:leftChars="200" w:firstLineChars="200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在个人投资者主导交易的市场中，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投机特点鲜明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。由于</w:t>
      </w:r>
      <w:r>
        <w:rPr>
          <w:rFonts w:hint="eastAsia" w:ascii="Microsoft YaHei UI" w:hAnsi="Microsoft YaHei UI" w:eastAsia="Microsoft YaHei UI" w:cs="Microsoft YaHei UI"/>
          <w:b w:val="1"/>
          <w:i w:val="0"/>
          <w:strike w:val="0"/>
          <w:spacing w:val="0"/>
          <w:u w:val="single"/>
        </w:rPr>
        <w:t>小市值股票的散户比例更高，</w:t>
      </w:r>
      <w:r>
        <w:rPr>
          <w:rFonts w:ascii="Microsoft YaHei UI" w:hAnsi="Microsoft YaHei UI" w:eastAsia="Microsoft YaHei UI" w:cs="Microsoft YaHei UI"/>
          <w:b w:val="1"/>
          <w:i w:val="0"/>
          <w:strike w:val="0"/>
          <w:spacing w:val="0"/>
          <w:u w:val="single"/>
        </w:rPr>
        <w:t>当利好消息发布、市场情绪活跃时，</w:t>
      </w:r>
      <w:r>
        <w:rPr>
          <w:rFonts w:hint="eastAsia" w:ascii="Microsoft YaHei UI" w:hAnsi="Microsoft YaHei UI" w:eastAsia="Microsoft YaHei UI" w:cs="Microsoft YaHei UI"/>
          <w:b w:val="1"/>
          <w:i w:val="0"/>
          <w:strike w:val="0"/>
          <w:spacing w:val="0"/>
          <w:u w:val="single"/>
        </w:rPr>
        <w:t>更容易导致小市值股票价格上涨，供不应求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。</w:t>
      </w:r>
    </w:p>
    <w:p>
      <w:pPr>
        <w:pStyle w:val="e7dc85"/>
        <w:numPr/>
        <w:ind w:firstLineChars="200"/>
        <w:rPr/>
      </w:pPr>
      <w:r>
        <w:rPr/>
        <w:t>1.2.3 卖空限制</w:t>
      </w:r>
    </w:p>
    <w:p>
      <w:pPr>
        <w:pBdr/>
        <w:snapToGrid w:val="1"/>
        <w:spacing w:line="240"/>
        <w:ind w:leftChars="200" w:firstLineChars="200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我国股市目前仍比较缺乏做空手段，特别是针对小市值股票的做空手段，比如在最小市值100的股票中，只有17%是融资融券标的。而全市场几乎一半的上市公司都是融资融券标的，表明小市值公司存在更高的卖空限制。</w:t>
      </w:r>
    </w:p>
    <w:p>
      <w:pPr>
        <w:pBdr/>
        <w:snapToGrid w:val="1"/>
        <w:spacing w:line="240"/>
        <w:ind w:leftChars="200" w:firstLineChars="200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在这种情况下，卖空限制在一定情况下制约了理性投资者的套利行为，使得被错误定价的股票在一个较长的时间范围内不能被正确定价，强化了市场异象。尤其是小规模企业，由于公司估值和经营能力的不确定性高、公司市值较低，容易引起短期内股票供给有限而造成超量需求，产生规模溢价。</w:t>
      </w:r>
    </w:p>
    <w:p>
      <w:pPr>
        <w:pBdr/>
        <w:snapToGrid w:val="1"/>
        <w:spacing w:line="240"/>
        <w:ind w:leftChars="200" w:firstLineChars="200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因此，</w:t>
      </w:r>
      <w:r>
        <w:rPr>
          <w:rFonts w:hint="eastAsia" w:ascii="Microsoft YaHei UI" w:hAnsi="Microsoft YaHei UI" w:eastAsia="Microsoft YaHei UI"/>
          <w:b w:val="1"/>
          <w:u w:val="single"/>
        </w:rPr>
        <w:t>卖空限制导致小市值公司的畸形高估值难以消除，造成较长时间的小规模溢价效应</w:t>
      </w:r>
      <w:r>
        <w:rPr>
          <w:rFonts w:hint="eastAsia" w:ascii="Microsoft YaHei UI" w:hAnsi="Microsoft YaHei UI" w:eastAsia="Microsoft YaHei UI"/>
        </w:rPr>
        <w:t>。</w:t>
      </w:r>
    </w:p>
    <w:p>
      <w:pPr>
        <w:pStyle w:val="e7dc85"/>
        <w:numPr/>
        <w:ind w:firstLineChars="200"/>
        <w:rPr/>
      </w:pPr>
      <w:r>
        <w:rPr/>
        <w:t>1.2.4 壳价值</w:t>
      </w:r>
    </w:p>
    <w:p>
      <w:pPr>
        <w:pBdr/>
        <w:snapToGrid w:val="1"/>
        <w:spacing w:line="240"/>
        <w:ind w:leftChars="200" w:firstLineChars="200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壳价值 指非上市公司为了得到上市资格，在借壳交易中需要向上市公司支付高昂的成本。在核准制背景之下、上市公司保壳意愿浓厚，即使上市公司运营不善，也能够通过资本市场上的壳交易获取巨大的经济利益。一些公司出于对 IPO 审核过程缓慢的担忧以及节约成本的考虑，可能会选择买壳来实现上市，间接导致“壳资源”被爆炒与小市值股票的规模溢价。</w:t>
      </w:r>
    </w:p>
    <w:p>
      <w:pPr>
        <w:pBdr/>
        <w:snapToGrid w:val="1"/>
        <w:spacing w:line="240"/>
        <w:ind w:leftChars="200" w:firstLineChars="200"/>
        <w:rPr>
          <w:rFonts w:hint="eastAsia" w:ascii="Microsoft YaHei UI" w:hAnsi="Microsoft YaHei UI" w:eastAsia="Microsoft YaHei UI"/>
          <w:b w:val="1"/>
          <w:u w:val="single"/>
        </w:rPr>
      </w:pPr>
      <w:r>
        <w:rPr>
          <w:rFonts w:hint="eastAsia" w:ascii="Microsoft YaHei UI" w:hAnsi="Microsoft YaHei UI" w:eastAsia="Microsoft YaHei UI"/>
        </w:rPr>
        <w:t>2020 年 8月，创业板注册制正式实施，影响了壳价值和借壳上市的情况。但当前A 股退市率仍不高，小盘股的投资赔率较高（股价向上弹性＞向下弹性），</w:t>
      </w:r>
      <w:r>
        <w:rPr>
          <w:rFonts w:hint="eastAsia" w:ascii="Microsoft YaHei UI" w:hAnsi="Microsoft YaHei UI" w:eastAsia="Microsoft YaHei UI"/>
          <w:b w:val="1"/>
          <w:u w:val="single"/>
        </w:rPr>
        <w:t>小盘股仍享受流动性优势、交易价值突出。另外并购重组政策有所放开，也将有利于小盘股行情。总体来看，小市值公司股价的政策红利期暂未完全消退</w:t>
      </w:r>
      <w:r>
        <w:rPr>
          <w:rFonts w:hint="eastAsia" w:ascii="Microsoft YaHei UI" w:hAnsi="Microsoft YaHei UI" w:eastAsia="Microsoft YaHei UI"/>
          <w:b w:val="0"/>
          <w:u w:val="none"/>
        </w:rPr>
        <w:t>。</w:t>
      </w:r>
    </w:p>
    <w:p>
      <w:pPr>
        <w:pBdr>
          <w:bottom/>
        </w:pBdr>
        <w:snapToGrid w:val="1"/>
        <w:spacing w:line="240"/>
        <w:ind w:leftChars="200" w:firstLineChars="200"/>
        <w:rPr>
          <w:rFonts w:ascii="Microsoft YaHei UI" w:hAnsi="Microsoft YaHei UI" w:eastAsia="Microsoft YaHei UI"/>
          <w:iCs w:val="1"/>
          <w:color w:val="3E3E3E" w:themeColor="text2" w:themeTint="E6"/>
          <w:sz w:val="28"/>
        </w:rPr>
      </w:pPr>
    </w:p>
    <w:p>
      <w:pPr>
        <w:pStyle w:val="b74117"/>
        <w:ind/>
        <w:rPr>
          <w:rFonts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2、</w:t>
      </w:r>
      <w:r>
        <w:rPr>
          <w:rFonts w:hint="eastAsia" w:ascii="Microsoft YaHei UI" w:hAnsi="Microsoft YaHei UI" w:eastAsia="Microsoft YaHei UI"/>
        </w:rPr>
        <w:t>策略优化&amp;增强</w:t>
      </w:r>
    </w:p>
    <w:p>
      <w:pPr>
        <w:pStyle w:val="a4aaa5"/>
        <w:numPr>
          <w:ilvl w:val="0"/>
          <w:numId w:val="1"/>
        </w:numPr>
        <w:ind/>
        <w:rPr>
          <w:iCs w:val="1"/>
        </w:rPr>
      </w:pPr>
      <w:r>
        <w:rPr>
          <w:rFonts w:hint="eastAsia"/>
          <w:iCs w:val="1"/>
        </w:rPr>
        <w:t>持仓数量</w:t>
      </w:r>
    </w:p>
    <w:p>
      <w:pPr>
        <w:numPr/>
        <w:pBdr/>
        <w:snapToGrid w:val="1"/>
        <w:spacing w:line="240"/>
        <w:ind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ab/>
        <w:t>在加强限制备选股票的基础条件下，减少持仓数量会提升策略收益率。</w:t>
      </w:r>
    </w:p>
    <w:p>
      <w:pPr>
        <w:numPr/>
        <w:snapToGrid w:val="1"/>
        <w:spacing w:line="240"/>
        <w:ind w:leftChars="0"/>
        <w:rPr/>
      </w:pP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 xml:space="preserve">    </w:t>
        <w:tab/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基础股票池条件为：</w:t>
      </w:r>
    </w:p>
    <w:p>
      <w:pPr>
        <w:numPr/>
        <w:snapToGrid w:val="1"/>
        <w:spacing w:line="240"/>
        <w:ind w:leftChars="400"/>
        <w:rPr/>
      </w:pP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1）股票上市满 1 年；</w:t>
      </w:r>
    </w:p>
    <w:p>
      <w:pPr>
        <w:numPr/>
        <w:snapToGrid w:val="1"/>
        <w:spacing w:line="240"/>
        <w:ind w:leftChars="400"/>
        <w:rPr/>
      </w:pP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2）不属于 ST、*ST 的股票；</w:t>
      </w:r>
    </w:p>
    <w:p>
      <w:pPr>
        <w:numPr/>
        <w:snapToGrid w:val="1"/>
        <w:spacing w:line="240"/>
        <w:ind w:leftChars="400"/>
        <w:rPr/>
      </w:pP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3）股票换仓日尾盘非涨停；</w:t>
      </w:r>
    </w:p>
    <w:p>
      <w:pPr>
        <w:numPr/>
        <w:pBdr/>
        <w:snapToGrid w:val="1"/>
        <w:spacing w:line="240"/>
        <w:ind w:leftChars="400"/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</w:pP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4）非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  <w:lang/>
        </w:rPr>
        <w:t>科创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、非北交所的股票。</w:t>
      </w:r>
    </w:p>
    <w:p>
      <w:pPr>
        <w:numPr/>
        <w:pBdr/>
        <w:snapToGrid w:val="1"/>
        <w:spacing w:line="240"/>
        <w:ind w:leftChars="200" w:firstLineChars="200"/>
        <w:jc w:val="both"/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</w:pP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经过数据回测后，限定条件下的小市值100策略收益为26.7%，结果如下</w:t>
        <w:tab/>
      </w:r>
    </w:p>
    <w:p>
      <w:pPr>
        <w:numPr/>
        <w:pBdr>
          <w:bottom/>
        </w:pBdr>
        <w:snapToGrid w:val="1"/>
        <w:spacing w:line="240"/>
        <w:ind w:leftChars="0"/>
        <w:jc w:val="right"/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</w:pP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 xml:space="preserve">     </w:t>
      </w:r>
      <w:r>
        <w:rPr/>
        <w:drawing>
          <wp:inline distT="0" distB="0" distL="0" distR="0">
            <wp:extent cx="5647171" cy="2632155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16"/>
                    <a:srcRect/>
                    <a:stretch/>
                  </pic:blipFill>
                  <pic:spPr>
                    <a:xfrm flipH="0" flipV="0">
                      <a:off x="0" y="0"/>
                      <a:ext cx="5647171" cy="263215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pBdr/>
        <w:snapToGrid w:val="1"/>
        <w:spacing w:line="240"/>
        <w:ind w:leftChars="400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如果将持仓减少到50支，即选择市值最小的50支股票，收益率提升至33.30%，结果如下</w:t>
      </w:r>
    </w:p>
    <w:p>
      <w:pPr>
        <w:numPr/>
        <w:pBdr/>
        <w:snapToGrid w:val="1"/>
        <w:spacing w:line="240"/>
        <w:ind w:leftChars="400"/>
        <w:rPr>
          <w:rFonts w:ascii="Microsoft YaHei UI" w:hAnsi="Microsoft YaHei UI" w:eastAsia="Microsoft YaHei UI"/>
        </w:rPr>
      </w:pPr>
      <w:r>
        <w:rPr/>
        <w:drawing>
          <wp:inline distT="0" distB="0" distL="0" distR="0">
            <wp:extent cx="5629910" cy="2996820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17"/>
                    <a:srcRect/>
                    <a:stretch/>
                  </pic:blipFill>
                  <pic:spPr>
                    <a:xfrm>
                      <a:off x="0" y="0"/>
                      <a:ext cx="5629910" cy="299682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snapToGrid w:val="1"/>
        <w:spacing w:line="240"/>
        <w:ind w:leftChars="400"/>
        <w:rPr>
          <w:rFonts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结论：减少策略中的持仓数量能提升年化收益率，但策略资金容量可能减小。</w:t>
      </w:r>
    </w:p>
    <w:p>
      <w:pPr>
        <w:pStyle w:val="a4aaa5"/>
        <w:pBdr/>
        <w:ind w:left="420"/>
        <w:rPr>
          <w:iCs w:val="1"/>
        </w:rPr>
      </w:pPr>
    </w:p>
    <w:p>
      <w:pPr>
        <w:pStyle w:val="a4aaa5"/>
        <w:numPr>
          <w:ilvl w:val="0"/>
          <w:numId w:val="1"/>
        </w:numPr>
        <w:rPr>
          <w:iCs w:val="1"/>
        </w:rPr>
      </w:pPr>
      <w:r>
        <w:rPr>
          <w:rFonts w:hint="eastAsia"/>
          <w:iCs w:val="1"/>
        </w:rPr>
        <w:t>多因子增强</w:t>
      </w:r>
    </w:p>
    <w:p>
      <w:pPr>
        <w:pBdr/>
        <w:snapToGrid w:val="1"/>
        <w:spacing w:line="240"/>
        <w:ind w:leftChars="200" w:firstLineChars="200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除市值因子以外，仍要判断动量、估值、波动率、盈利、换手率、成长、股价、股息、成交额、净资产回报率、反转等其它因子，是否能提升收益率，或减少回撤。</w:t>
      </w:r>
    </w:p>
    <w:p>
      <w:pPr>
        <w:pBdr/>
        <w:snapToGrid w:val="1"/>
        <w:spacing w:line="240"/>
        <w:ind w:leftChars="200" w:firstLineChars="200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选择在小市值100 股票池中数据覆盖度在 80%以上的因子进行单因子测试。把小市值股票按因子值的大小均匀分为两组，其中组1的因子值更大。从回测年化收益率来看，仅低动量（35%）、高增长 (33.4%)等因子显著有效，回测结果见下表。</w:t>
      </w:r>
    </w:p>
    <w:p>
      <w:pPr>
        <w:pBdr/>
        <w:snapToGrid w:val="1"/>
        <w:spacing w:line="240"/>
        <w:ind w:leftChars="0" w:firstLineChars="0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drawing>
          <wp:inline distT="0" distB="0" distL="0" distR="0">
            <wp:extent cx="6188710" cy="526699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8"/>
                    <a:srcRect/>
                    <a:stretch/>
                  </pic:blipFill>
                  <pic:spPr>
                    <a:xfrm>
                      <a:off x="0" y="0"/>
                      <a:ext cx="6188710" cy="52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line="240"/>
        <w:ind w:leftChars="0" w:firstLineChars="0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drawing>
          <wp:inline distT="0" distB="0" distL="0" distR="0">
            <wp:extent cx="6188710" cy="7242107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9"/>
                    <a:stretch/>
                  </pic:blipFill>
                  <pic:spPr>
                    <a:xfrm>
                      <a:off x="0" y="0"/>
                      <a:ext cx="6188710" cy="724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line="240"/>
        <w:ind w:leftChars="0" w:firstLineChars="0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ab/>
        <w:t>结论：小市值、低动量、高增长的多因子选股策略具有更高的有效性。</w:t>
      </w:r>
    </w:p>
    <w:p>
      <w:pPr>
        <w:pStyle w:val="a4aaa5"/>
        <w:numPr>
          <w:ilvl w:val="0"/>
          <w:numId w:val="1"/>
        </w:numPr>
        <w:ind/>
        <w:rPr>
          <w:iCs w:val="1"/>
        </w:rPr>
      </w:pPr>
      <w:r>
        <w:rPr>
          <w:rFonts w:hint="eastAsia"/>
          <w:iCs w:val="1"/>
        </w:rPr>
        <w:t>月历效应</w:t>
      </w:r>
    </w:p>
    <w:p>
      <w:pPr>
        <w:pBdr/>
        <w:snapToGrid w:val="1"/>
        <w:spacing w:line="240"/>
        <w:ind/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</w:pPr>
      <w:r>
        <w:rPr>
          <w:rFonts w:hint="eastAsia" w:ascii="Microsoft YaHei UI" w:hAnsi="Microsoft YaHei UI" w:eastAsia="Microsoft YaHei UI"/>
        </w:rPr>
        <w:tab/>
        <w:t>小市值100策略的月度绝对收益显示，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一月平均收益率最低为-5.1%，六月平均收益率为-2.2%，四月平均收益率为-1.2%，其余月份均取得正收益率。</w:t>
      </w:r>
    </w:p>
    <w:p>
      <w:pPr>
        <w:pBdr/>
        <w:snapToGrid w:val="1"/>
        <w:spacing w:line="240"/>
        <w:ind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drawing>
          <wp:inline distT="0" distB="0" distL="0" distR="0">
            <wp:extent cx="6188710" cy="2972324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20"/>
                    <a:stretch/>
                  </pic:blipFill>
                  <pic:spPr>
                    <a:xfrm>
                      <a:off x="0" y="0"/>
                      <a:ext cx="6188710" cy="297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line="240"/>
        <w:ind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ab/>
        <w:t>究其原因，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一月是业绩预告的主要时间段，在此期间公布业绩预期不佳等会对小市值股票造成一定负面影响（如业绩暴雷、财务异常等）；四月是财报发布密集区，小市值股票被ST 的风险显著提高，可能遭遇被 ST 连续跌停的情况，且投资者出于避险需求倾向于卖出股票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【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回测区间共计63 个股票被 ST，其中有 46 个股票在四月份被 ST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，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 xml:space="preserve">占比 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73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.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01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%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】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。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 xml:space="preserve"> </w:t>
      </w:r>
      <w:r>
        <w:rPr>
          <w:rFonts w:hint="eastAsia" w:ascii="Microsoft YaHei UI" w:hAnsi="Microsoft YaHei UI" w:eastAsia="Microsoft YaHei UI"/>
        </w:rPr>
        <w:t>而六月平均收益为负，是被2015年6月牛市反转大跌-33.5%的绝对低值拉低，没有逻辑意义。</w:t>
      </w:r>
    </w:p>
    <w:p>
      <w:pPr>
        <w:pBdr/>
        <w:snapToGrid w:val="1"/>
        <w:spacing w:line="240"/>
        <w:ind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ab/>
        <w:t>结论：策略可选择空仓一月、四月，以提升策略收益率。</w:t>
      </w:r>
    </w:p>
    <w:p>
      <w:pPr>
        <w:pBdr>
          <w:bottom/>
        </w:pBdr>
        <w:snapToGrid w:val="1"/>
        <w:spacing w:line="240"/>
        <w:ind/>
        <w:rPr>
          <w:rFonts w:hint="eastAsia" w:ascii="Microsoft YaHei UI" w:hAnsi="Microsoft YaHei UI" w:eastAsia="Microsoft YaHei UI"/>
        </w:rPr>
      </w:pPr>
    </w:p>
    <w:p>
      <w:pPr>
        <w:pStyle w:val="a4aaa5"/>
        <w:numPr>
          <w:ilvl w:val="0"/>
          <w:numId w:val="1"/>
        </w:numPr>
        <w:ind/>
        <w:rPr>
          <w:iCs w:val="1"/>
        </w:rPr>
      </w:pPr>
      <w:r>
        <w:rPr>
          <w:rFonts w:hint="eastAsia"/>
          <w:iCs w:val="1"/>
        </w:rPr>
        <w:t>调仓频率</w:t>
      </w:r>
    </w:p>
    <w:p>
      <w:pPr>
        <w:pBdr/>
        <w:snapToGrid w:val="1"/>
        <w:spacing w:line="240"/>
        <w:ind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ab/>
        <w:t>以单周、双周、月、双月、季度的不同调仓频率，来进行统计回测，数据如下：</w:t>
      </w:r>
    </w:p>
    <w:p>
      <w:pPr>
        <w:pBdr/>
        <w:snapToGrid w:val="1"/>
        <w:spacing w:line="240"/>
        <w:ind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drawing>
          <wp:inline distT="0" distB="0" distL="0" distR="0">
            <wp:extent cx="6188710" cy="3271299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21"/>
                    <a:stretch/>
                  </pic:blipFill>
                  <pic:spPr>
                    <a:xfrm>
                      <a:off x="0" y="0"/>
                      <a:ext cx="6188710" cy="327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/>
        </w:pBdr>
        <w:snapToGrid w:val="1"/>
        <w:spacing w:line="240"/>
        <w:ind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ab/>
        <w:t>结论：在空仓一、四、六月的情况下，双周轮动的年化收益最高，为50.9%</w:t>
      </w:r>
    </w:p>
    <w:p>
      <w:pPr>
        <w:pStyle w:val="b74117"/>
        <w:ind/>
        <w:rPr>
          <w:rFonts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3、</w:t>
      </w:r>
      <w:r>
        <w:rPr>
          <w:rFonts w:hint="eastAsia" w:ascii="Microsoft YaHei UI" w:hAnsi="Microsoft YaHei UI" w:eastAsia="Microsoft YaHei UI"/>
        </w:rPr>
        <w:t>策略回溯&amp;实证</w:t>
      </w:r>
    </w:p>
    <w:p>
      <w:pPr>
        <w:pStyle w:val="ec1540"/>
        <w:ind/>
        <w:rPr>
          <w:rFonts w:ascii="Microsoft YaHei UI" w:hAnsi="Microsoft YaHei UI" w:eastAsia="Microsoft YaHei UI"/>
          <w:iCs w:val="1"/>
          <w:color w:val="3E3E3E" w:themeColor="text2" w:themeTint="E6"/>
          <w:sz w:val="28"/>
        </w:rPr>
      </w:pPr>
      <w:r>
        <w:rPr>
          <w:rFonts w:hint="eastAsia" w:ascii="Microsoft YaHei UI" w:hAnsi="Microsoft YaHei UI" w:eastAsia="Microsoft YaHei UI"/>
          <w:iCs w:val="1"/>
          <w:color w:val="3E3E3E" w:themeColor="text2" w:themeTint="E6"/>
          <w:sz w:val="28"/>
          <w:lang/>
        </w:rPr>
        <w:t>持仓数量</w:t>
      </w:r>
    </w:p>
    <w:p>
      <w:pPr>
        <w:pStyle w:val="ec1540"/>
        <w:numPr>
          <w:ilvl w:val="0"/>
          <w:numId w:val="0"/>
        </w:numPr>
        <w:pBdr/>
        <w:ind w:left="389"/>
        <w:rPr>
          <w:rFonts w:ascii="Microsoft YaHei UI" w:hAnsi="Microsoft YaHei UI" w:eastAsia="Microsoft YaHei UI"/>
          <w:lang/>
        </w:rPr>
      </w:pPr>
      <w:r>
        <w:rPr>
          <w:rFonts w:ascii="Microsoft YaHei UI" w:hAnsi="Microsoft YaHei UI" w:eastAsia="Microsoft YaHei UI"/>
          <w:lang/>
        </w:rPr>
        <w:drawing>
          <wp:inline distT="0" distB="0" distL="0" distR="0">
            <wp:extent cx="5941695" cy="1590135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22"/>
                    <a:stretch/>
                  </pic:blipFill>
                  <pic:spPr>
                    <a:xfrm>
                      <a:off x="0" y="0"/>
                      <a:ext cx="5941695" cy="15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ec1540"/>
        <w:numPr>
          <w:ilvl w:val="0"/>
          <w:numId w:val="0"/>
        </w:numPr>
        <w:pBdr/>
        <w:ind w:left="389"/>
        <w:rPr>
          <w:rFonts w:ascii="Microsoft YaHei UI" w:hAnsi="Microsoft YaHei UI" w:eastAsia="Microsoft YaHei UI"/>
          <w:lang/>
        </w:rPr>
      </w:pPr>
      <w:r>
        <w:rPr>
          <w:rFonts w:hint="eastAsia" w:ascii="Microsoft YaHei UI" w:hAnsi="Microsoft YaHei UI" w:eastAsia="Microsoft YaHei UI"/>
          <w:lang/>
        </w:rPr>
        <w:t>从回测数据来看，持仓数量对于收益率影响不大，从3支~100支持股，年化收益均可以达到30%+，从投入资金量、个股下跌等因素综合考虑下，建议持有10支或20支标的。比如5日20支回测结果如下：</w:t>
      </w:r>
    </w:p>
    <w:p>
      <w:pPr>
        <w:pStyle w:val="ec1540"/>
        <w:numPr>
          <w:ilvl w:val="0"/>
          <w:numId w:val="0"/>
        </w:numPr>
        <w:pBdr/>
        <w:ind w:left="389"/>
        <w:rPr>
          <w:rFonts w:ascii="Microsoft YaHei UI" w:hAnsi="Microsoft YaHei UI" w:eastAsia="Microsoft YaHei UI"/>
          <w:lang/>
        </w:rPr>
      </w:pPr>
      <w:r>
        <w:rPr>
          <w:rFonts w:ascii="Microsoft YaHei UI" w:hAnsi="Microsoft YaHei UI" w:eastAsia="Microsoft YaHei UI"/>
          <w:lang/>
        </w:rPr>
        <w:drawing>
          <wp:inline distT="0" distB="0" distL="0" distR="0">
            <wp:extent cx="5941695" cy="1861884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1">
                    <a:blip r:embed="rId23"/>
                    <a:stretch/>
                  </pic:blipFill>
                  <pic:spPr>
                    <a:xfrm>
                      <a:off x="0" y="0"/>
                      <a:ext cx="5941695" cy="186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ec1540"/>
        <w:numPr>
          <w:ilvl w:val="0"/>
          <w:numId w:val="0"/>
        </w:numPr>
        <w:pBdr>
          <w:bottom/>
        </w:pBdr>
        <w:ind w:left="389"/>
        <w:rPr>
          <w:rFonts w:ascii="Microsoft YaHei UI" w:hAnsi="Microsoft YaHei UI" w:eastAsia="Microsoft YaHei UI"/>
          <w:lang/>
        </w:rPr>
      </w:pPr>
      <w:r>
        <w:rPr>
          <w:rFonts w:hint="eastAsia" w:ascii="Microsoft YaHei UI" w:hAnsi="Microsoft YaHei UI" w:eastAsia="Microsoft YaHei UI"/>
          <w:lang/>
        </w:rPr>
        <w:t>另外、上述策略最大回撤均超过70%+，时间发生在2008年。但同期沪深300指数下跌也达到72.30%，并不比小市值策略风险小。</w:t>
      </w:r>
    </w:p>
    <w:p>
      <w:pPr>
        <w:pStyle w:val="ec1540"/>
        <w:pBdr/>
        <w:ind/>
        <w:rPr>
          <w:rFonts w:hint="eastAsia" w:ascii="Microsoft YaHei UI" w:hAnsi="Microsoft YaHei UI" w:eastAsia="Microsoft YaHei UI"/>
          <w:iCs w:val="1"/>
          <w:color w:val="3E3E3E" w:themeColor="text2" w:themeTint="E6"/>
          <w:sz w:val="28"/>
          <w:lang/>
        </w:rPr>
      </w:pPr>
      <w:r>
        <w:rPr>
          <w:rFonts w:hint="eastAsia" w:ascii="Microsoft YaHei UI" w:hAnsi="Microsoft YaHei UI" w:eastAsia="Microsoft YaHei UI"/>
          <w:iCs w:val="1"/>
          <w:color w:val="3E3E3E" w:themeColor="text2" w:themeTint="E6"/>
          <w:sz w:val="28"/>
          <w:lang/>
        </w:rPr>
        <w:t>换仓周期</w:t>
      </w:r>
    </w:p>
    <w:p>
      <w:pPr>
        <w:pStyle w:val="ec1540"/>
        <w:numPr>
          <w:ilvl w:val="0"/>
          <w:numId w:val="0"/>
        </w:numPr>
        <w:pBdr/>
        <w:ind w:left="389"/>
        <w:rPr>
          <w:rFonts w:hint="eastAsia" w:ascii="Microsoft YaHei UI" w:hAnsi="Microsoft YaHei UI" w:eastAsia="Microsoft YaHei UI"/>
          <w:iCs w:val="1"/>
          <w:color w:val="3E3E3E" w:themeColor="text2" w:themeTint="E6"/>
          <w:sz w:val="28"/>
        </w:rPr>
      </w:pPr>
      <w:r>
        <w:rPr>
          <w:rFonts w:hint="eastAsia" w:ascii="Microsoft YaHei UI" w:hAnsi="Microsoft YaHei UI" w:eastAsia="Microsoft YaHei UI"/>
          <w:iCs w:val="1"/>
          <w:color w:val="3E3E3E" w:themeColor="text2" w:themeTint="E6"/>
          <w:sz w:val="28"/>
          <w:lang/>
        </w:rPr>
        <w:drawing>
          <wp:inline distT="0" distB="0" distL="0" distR="0">
            <wp:extent cx="5941695" cy="3050935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1">
                    <a:blip r:embed="rId24"/>
                    <a:stretch/>
                  </pic:blipFill>
                  <pic:spPr>
                    <a:xfrm>
                      <a:off x="0" y="0"/>
                      <a:ext cx="5941695" cy="305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ec1540"/>
        <w:numPr>
          <w:ilvl w:val="0"/>
          <w:numId w:val="0"/>
        </w:numPr>
        <w:pBdr/>
        <w:ind w:left="389"/>
        <w:rPr>
          <w:rFonts w:hint="eastAsia" w:ascii="Microsoft YaHei UI" w:hAnsi="Microsoft YaHei UI" w:eastAsia="Microsoft YaHei UI"/>
          <w:lang/>
        </w:rPr>
      </w:pPr>
      <w:r>
        <w:rPr>
          <w:rFonts w:hint="eastAsia" w:ascii="Microsoft YaHei UI" w:hAnsi="Microsoft YaHei UI" w:eastAsia="Microsoft YaHei UI"/>
          <w:lang/>
        </w:rPr>
        <w:t>从不同天数的换仓周期下，小市值策略显示了很好的鲁棒性，策略的年化收益对于换仓天数参数的变化，收益波动不敏感。历史最优换仓天数在8天，从便于操作的角度考虑，5天和10天，即每周或双周轮动，都是可以接受的实盘动作。</w:t>
      </w:r>
    </w:p>
    <w:p>
      <w:pPr>
        <w:pStyle w:val="ec1540"/>
        <w:numPr>
          <w:ilvl w:val="0"/>
          <w:numId w:val="0"/>
        </w:numPr>
        <w:pBdr/>
        <w:ind w:left="389"/>
        <w:rPr>
          <w:rFonts w:hint="eastAsia" w:ascii="Microsoft YaHei UI" w:hAnsi="Microsoft YaHei UI" w:eastAsia="Microsoft YaHei UI"/>
          <w:lang/>
        </w:rPr>
      </w:pPr>
      <w:r>
        <w:rPr>
          <w:rFonts w:hint="eastAsia" w:ascii="Microsoft YaHei UI" w:hAnsi="Microsoft YaHei UI" w:eastAsia="Microsoft YaHei UI"/>
          <w:lang/>
        </w:rPr>
        <w:drawing>
          <wp:inline distT="0" distB="0" distL="0" distR="0">
            <wp:extent cx="5941695" cy="1637750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1">
                    <a:blip r:embed="rId25"/>
                    <a:stretch/>
                  </pic:blipFill>
                  <pic:spPr>
                    <a:xfrm>
                      <a:off x="0" y="0"/>
                      <a:ext cx="5941695" cy="163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ec1540"/>
        <w:pBdr/>
        <w:ind/>
        <w:rPr>
          <w:rFonts w:hint="eastAsia" w:ascii="Microsoft YaHei UI" w:hAnsi="Microsoft YaHei UI" w:eastAsia="Microsoft YaHei UI"/>
          <w:iCs w:val="1"/>
          <w:color w:val="3E3E3E" w:themeColor="text2" w:themeTint="E6"/>
          <w:sz w:val="28"/>
          <w:lang/>
        </w:rPr>
      </w:pPr>
      <w:r>
        <w:rPr>
          <w:rFonts w:hint="eastAsia" w:ascii="Microsoft YaHei UI" w:hAnsi="Microsoft YaHei UI" w:eastAsia="Microsoft YaHei UI"/>
          <w:iCs w:val="1"/>
          <w:color w:val="3E3E3E" w:themeColor="text2" w:themeTint="E6"/>
          <w:sz w:val="28"/>
          <w:lang/>
        </w:rPr>
        <w:t>月度效应</w:t>
      </w:r>
    </w:p>
    <w:p>
      <w:pPr>
        <w:pStyle w:val="ec1540"/>
        <w:numPr>
          <w:ilvl w:val="0"/>
          <w:numId w:val="0"/>
        </w:numPr>
        <w:pBdr/>
        <w:ind w:left="389"/>
        <w:rPr>
          <w:rFonts w:hint="eastAsia" w:ascii="Microsoft YaHei UI" w:hAnsi="Microsoft YaHei UI" w:eastAsia="Microsoft YaHei UI"/>
          <w:iCs w:val="1"/>
          <w:color w:val="3E3E3E" w:themeColor="text2" w:themeTint="E6"/>
          <w:sz w:val="28"/>
          <w:lang/>
        </w:rPr>
      </w:pPr>
      <w:r>
        <w:rPr>
          <w:rFonts w:hint="eastAsia" w:ascii="Microsoft YaHei UI" w:hAnsi="Microsoft YaHei UI" w:eastAsia="Microsoft YaHei UI"/>
          <w:iCs w:val="1"/>
          <w:color w:val="3E3E3E" w:themeColor="text2" w:themeTint="E6"/>
          <w:sz w:val="28"/>
          <w:lang/>
        </w:rPr>
        <w:t xml:space="preserve"> </w:t>
      </w:r>
      <w:r>
        <w:rPr>
          <w:rFonts w:hint="eastAsia" w:ascii="Microsoft YaHei UI" w:hAnsi="Microsoft YaHei UI" w:eastAsia="Microsoft YaHei UI"/>
          <w:lang/>
        </w:rPr>
        <w:t>从2017年大量新股IPO和2020年宣布注册制之后，小市值面临“壳资源”失效的逻辑质疑，形成了几次大跌，同时在可能财务爆雷的情况下，1月、4月份微小盘股票下跌严重。我们来看一下</w:t>
      </w:r>
      <w:r>
        <w:rPr>
          <w:rFonts w:ascii="Microsoft YaHei UI" w:hAnsi="Microsoft YaHei UI" w:eastAsia="Microsoft YaHei UI" w:cs="Microsoft YaHei UI"/>
          <w:i w:val="0"/>
          <w:strike w:val="0"/>
          <w:spacing w:val="0"/>
          <w:u w:val="none"/>
        </w:rPr>
        <w:t>微盘股指数</w:t>
      </w:r>
      <w:r>
        <w:rPr>
          <w:rFonts w:hint="eastAsia" w:ascii="Microsoft YaHei UI" w:hAnsi="Microsoft YaHei UI" w:eastAsia="Microsoft YaHei UI" w:cs="Microsoft YaHei UI"/>
          <w:i w:val="0"/>
          <w:strike w:val="0"/>
          <w:spacing w:val="0"/>
          <w:u w:val="none"/>
        </w:rPr>
        <w:t>的月度表现。</w:t>
      </w:r>
    </w:p>
    <w:p>
      <w:pPr>
        <w:pStyle w:val="ec1540"/>
        <w:numPr>
          <w:ilvl w:val="0"/>
          <w:numId w:val="0"/>
        </w:numPr>
        <w:pBdr/>
        <w:ind w:left="389"/>
        <w:rPr>
          <w:rFonts w:ascii="Microsoft YaHei UI" w:hAnsi="Microsoft YaHei UI" w:eastAsia="Microsoft YaHei UI" w:cstheme="majorBidi"/>
          <w:b w:val="1"/>
          <w:color w:val="7A4F13" w:themeColor="accent1" w:themeShade="80"/>
          <w:sz w:val="38"/>
          <w:szCs w:val="26"/>
          <w:lang w:val="zh-CN" w:bidi="zh-CN"/>
        </w:rPr>
      </w:pPr>
      <w:r>
        <w:rPr>
          <w:rFonts w:hint="eastAsia" w:ascii="Microsoft YaHei UI" w:hAnsi="Microsoft YaHei UI" w:eastAsia="Microsoft YaHei UI"/>
          <w:iCs w:val="1"/>
          <w:color w:val="3E3E3E" w:themeColor="text2" w:themeTint="E6"/>
          <w:sz w:val="28"/>
          <w:lang/>
        </w:rPr>
        <w:drawing>
          <wp:inline distT="0" distB="0" distL="0" distR="0">
            <wp:extent cx="5941695" cy="2893794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1">
                    <a:blip r:embed="rId26"/>
                    <a:stretch/>
                  </pic:blipFill>
                  <pic:spPr>
                    <a:xfrm>
                      <a:off x="0" y="0"/>
                      <a:ext cx="5941695" cy="289379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/>
          <w:lang/>
        </w:rPr>
        <w:t>可以看到1月、4月、12月的平均收益为负，一般归因认为与财务暴雷和业务预警有关。建议至少将1、4月排除在策略持仓之外。以下是2017年之后全时段持仓和1、4月空仓的比较。</w:t>
      </w:r>
    </w:p>
    <w:p>
      <w:pPr>
        <w:pStyle w:val="ec1540"/>
        <w:numPr>
          <w:ilvl w:val="0"/>
          <w:numId w:val="0"/>
        </w:numPr>
        <w:pBdr/>
        <w:ind w:left="389"/>
        <w:rPr>
          <w:rFonts w:ascii="Microsoft YaHei UI" w:hAnsi="Microsoft YaHei UI" w:eastAsia="Microsoft YaHei UI" w:cstheme="majorBidi"/>
          <w:b w:val="1"/>
          <w:color w:val="7A4F13" w:themeColor="accent1" w:themeShade="80"/>
          <w:sz w:val="38"/>
          <w:szCs w:val="26"/>
          <w:lang w:val="zh-CN" w:bidi="zh-CN"/>
        </w:rPr>
      </w:pPr>
      <w:r>
        <w:rPr>
          <w:rFonts w:ascii="Microsoft YaHei UI" w:hAnsi="Microsoft YaHei UI" w:eastAsia="Microsoft YaHei UI" w:cstheme="majorBidi"/>
          <w:b w:val="1"/>
          <w:color w:val="7A4F13" w:themeColor="accent1" w:themeShade="80"/>
          <w:sz w:val="38"/>
          <w:szCs w:val="26"/>
          <w:lang w:val="zh-CN" w:bidi="zh-CN"/>
        </w:rPr>
        <w:drawing>
          <wp:inline distT="0" distB="0" distL="0" distR="0">
            <wp:extent cx="5941695" cy="2112727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1">
                    <a:blip r:embed="rId27"/>
                    <a:stretch/>
                  </pic:blipFill>
                  <pic:spPr>
                    <a:xfrm>
                      <a:off x="0" y="0"/>
                      <a:ext cx="5941695" cy="211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ec1540"/>
        <w:numPr>
          <w:ilvl w:val="0"/>
          <w:numId w:val="0"/>
        </w:numPr>
        <w:pBdr/>
        <w:ind w:left="389"/>
        <w:rPr>
          <w:rFonts w:ascii="Microsoft YaHei UI" w:hAnsi="Microsoft YaHei UI" w:eastAsia="Microsoft YaHei UI" w:cstheme="majorBidi"/>
          <w:b w:val="1"/>
          <w:color w:val="7A4F13" w:themeColor="accent1" w:themeShade="80"/>
          <w:sz w:val="38"/>
          <w:szCs w:val="26"/>
          <w:lang w:val="zh-CN" w:bidi="zh-CN"/>
        </w:rPr>
      </w:pPr>
      <w:r>
        <w:rPr>
          <w:rFonts w:hint="eastAsia" w:ascii="Microsoft YaHei UI" w:hAnsi="Microsoft YaHei UI" w:eastAsia="Microsoft YaHei UI"/>
          <w:lang/>
        </w:rPr>
        <w:t>上图显示2017年回测至今，全时段持仓的情况下，小市值年化收益仅为14.99%，最大回撤为50.64%，夏普比率为0.34</w:t>
      </w:r>
    </w:p>
    <w:p>
      <w:pPr>
        <w:pStyle w:val="ec1540"/>
        <w:numPr>
          <w:ilvl w:val="0"/>
          <w:numId w:val="0"/>
        </w:numPr>
        <w:pBdr/>
        <w:ind w:left="389"/>
        <w:rPr>
          <w:rFonts w:ascii="Microsoft YaHei UI" w:hAnsi="Microsoft YaHei UI" w:eastAsia="Microsoft YaHei UI" w:cstheme="majorBidi"/>
          <w:b w:val="1"/>
          <w:color w:val="7A4F13" w:themeColor="accent1" w:themeShade="80"/>
          <w:sz w:val="38"/>
          <w:szCs w:val="26"/>
          <w:lang w:val="zh-CN" w:bidi="zh-CN"/>
        </w:rPr>
      </w:pPr>
      <w:r>
        <w:rPr>
          <w:rFonts w:ascii="Microsoft YaHei UI" w:hAnsi="Microsoft YaHei UI" w:eastAsia="Microsoft YaHei UI" w:cstheme="majorBidi"/>
          <w:b w:val="1"/>
          <w:color w:val="7A4F13" w:themeColor="accent1" w:themeShade="80"/>
          <w:sz w:val="38"/>
          <w:szCs w:val="26"/>
          <w:lang w:val="zh-CN" w:bidi="zh-CN"/>
        </w:rPr>
        <w:drawing>
          <wp:inline distT="0" distB="0" distL="0" distR="0">
            <wp:extent cx="5941695" cy="2092120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1">
                    <a:blip r:embed="rId28"/>
                    <a:stretch/>
                  </pic:blipFill>
                  <pic:spPr>
                    <a:xfrm>
                      <a:off x="0" y="0"/>
                      <a:ext cx="5941695" cy="20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ec1540"/>
        <w:numPr>
          <w:ilvl w:val="0"/>
          <w:numId w:val="0"/>
        </w:numPr>
        <w:pBdr/>
        <w:ind w:left="389"/>
        <w:rPr>
          <w:rFonts w:ascii="Microsoft YaHei UI" w:hAnsi="Microsoft YaHei UI" w:eastAsia="Microsoft YaHei UI" w:cstheme="majorBidi"/>
          <w:b w:val="1"/>
          <w:color w:val="7A4F13" w:themeColor="accent1" w:themeShade="80"/>
          <w:sz w:val="38"/>
          <w:szCs w:val="26"/>
          <w:lang w:val="zh-CN" w:bidi="zh-CN"/>
        </w:rPr>
      </w:pPr>
      <w:r>
        <w:rPr>
          <w:rFonts w:hint="eastAsia" w:ascii="Microsoft YaHei UI" w:hAnsi="Microsoft YaHei UI" w:eastAsia="Microsoft YaHei UI"/>
          <w:lang/>
        </w:rPr>
        <w:t>而在1月、4月空仓的情况下，如上图显示2017年回测至今，小市值年化收益仅为28.15%，最大回撤为36.41%，夏普比率为0.87。</w:t>
      </w:r>
    </w:p>
    <w:p>
      <w:pPr>
        <w:pStyle w:val="ec1540"/>
        <w:numPr>
          <w:ilvl w:val="0"/>
          <w:numId w:val="0"/>
        </w:numPr>
        <w:pBdr>
          <w:bottom/>
        </w:pBdr>
        <w:ind w:left="389"/>
        <w:rPr>
          <w:rFonts w:ascii="Microsoft YaHei UI" w:hAnsi="Microsoft YaHei UI" w:eastAsia="Microsoft YaHei UI" w:cstheme="majorBidi"/>
          <w:b w:val="1"/>
          <w:color w:val="7A4F13" w:themeColor="accent1" w:themeShade="80"/>
          <w:sz w:val="38"/>
          <w:szCs w:val="26"/>
          <w:lang w:val="zh-CN" w:bidi="zh-CN"/>
        </w:rPr>
      </w:pPr>
      <w:r>
        <w:rPr>
          <w:rFonts w:hint="eastAsia" w:ascii="Microsoft YaHei UI" w:hAnsi="Microsoft YaHei UI" w:eastAsia="Microsoft YaHei UI"/>
          <w:lang/>
        </w:rPr>
        <w:t>结论：建议用户在1、4月份空仓，或至少减少持有小市值策略的仓位。</w:t>
      </w:r>
    </w:p>
    <w:p>
      <w:pPr>
        <w:pStyle w:val="b74117"/>
        <w:ind/>
        <w:rPr>
          <w:rFonts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4、</w:t>
      </w:r>
      <w:r>
        <w:rPr>
          <w:rFonts w:hint="eastAsia" w:ascii="Microsoft YaHei UI" w:hAnsi="Microsoft YaHei UI" w:eastAsia="Microsoft YaHei UI"/>
        </w:rPr>
        <w:t>建议&amp;风险提示</w:t>
      </w:r>
    </w:p>
    <w:p>
      <w:pPr>
        <w:pStyle w:val="ec1540"/>
        <w:pBdr/>
        <w:ind/>
        <w:rPr>
          <w:rFonts w:hint="eastAsia" w:ascii="Microsoft YaHei UI" w:hAnsi="Microsoft YaHei UI" w:eastAsia="Microsoft YaHei UI"/>
          <w:iCs w:val="1"/>
          <w:color w:val="3E3E3E" w:themeColor="text2" w:themeTint="E6"/>
          <w:sz w:val="28"/>
        </w:rPr>
      </w:pPr>
      <w:r>
        <w:rPr>
          <w:rFonts w:hint="eastAsia" w:ascii="Microsoft YaHei UI" w:hAnsi="Microsoft YaHei UI" w:eastAsia="Microsoft YaHei UI"/>
          <w:iCs w:val="1"/>
          <w:color w:val="3E3E3E" w:themeColor="text2" w:themeTint="E6"/>
          <w:sz w:val="28"/>
        </w:rPr>
        <w:t>仓位管理</w:t>
      </w:r>
    </w:p>
    <w:p>
      <w:pPr>
        <w:pStyle w:val="ec1540"/>
        <w:numPr>
          <w:ilvl w:val="0"/>
          <w:numId w:val="0"/>
        </w:numPr>
        <w:pBdr/>
        <w:ind w:left="389"/>
        <w:rPr>
          <w:rFonts w:ascii="Microsoft YaHei UI" w:hAnsi="Microsoft YaHei UI" w:eastAsia="Microsoft YaHei UI" w:cstheme="majorBidi"/>
          <w:b w:val="1"/>
          <w:color w:val="7A4F13" w:themeColor="accent1" w:themeShade="80"/>
          <w:sz w:val="38"/>
          <w:szCs w:val="26"/>
          <w:lang w:val="zh-CN" w:bidi="zh-CN"/>
        </w:rPr>
      </w:pPr>
      <w:r>
        <w:rPr>
          <w:rFonts w:hint="eastAsia" w:ascii="Microsoft YaHei UI" w:hAnsi="Microsoft YaHei UI" w:eastAsia="Microsoft YaHei UI"/>
          <w:lang/>
        </w:rPr>
        <w:t>5日20支2007年至今，最大回撤年度分布图如下：</w:t>
      </w:r>
    </w:p>
    <w:p>
      <w:pPr>
        <w:pStyle w:val="ec1540"/>
        <w:numPr>
          <w:ilvl w:val="0"/>
          <w:numId w:val="0"/>
        </w:numPr>
        <w:pBdr>
          <w:bottom/>
        </w:pBdr>
        <w:ind w:left="389"/>
        <w:rPr>
          <w:rFonts w:ascii="Microsoft YaHei UI" w:hAnsi="Microsoft YaHei UI" w:eastAsia="Microsoft YaHei UI" w:cstheme="majorBidi"/>
          <w:b w:val="1"/>
          <w:color w:val="7A4F13" w:themeColor="accent1" w:themeShade="80"/>
          <w:sz w:val="38"/>
          <w:szCs w:val="26"/>
          <w:lang w:val="zh-CN" w:bidi="zh-CN"/>
        </w:rPr>
      </w:pPr>
      <w:r>
        <w:rPr/>
        <w:drawing>
          <wp:inline distT="0" distB="0" distL="0" distR="0">
            <wp:extent cx="5941695" cy="1877818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1">
                    <a:blip r:embed="rId29"/>
                    <a:srcRect/>
                    <a:stretch/>
                  </pic:blipFill>
                  <pic:spPr>
                    <a:xfrm>
                      <a:off x="0" y="0"/>
                      <a:ext cx="5941695" cy="187781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/>
          <w:lang/>
        </w:rPr>
        <w:t>由于小市值策略年度波动率经常超过30%，历史最大回撤超过70%，建议用户在小市值策略的资金投入比例上，占比10~20%。控制仓位，不能在上涨阶段追加仓位，容易导致心态失衡，暴跌亏损后，割肉离场。</w:t>
      </w:r>
    </w:p>
    <w:p>
      <w:pPr>
        <w:pStyle w:val="ec1540"/>
        <w:pBdr/>
        <w:ind/>
        <w:rPr>
          <w:rFonts w:hint="eastAsia" w:ascii="Microsoft YaHei UI" w:hAnsi="Microsoft YaHei UI" w:eastAsia="Microsoft YaHei UI"/>
          <w:iCs w:val="1"/>
          <w:color w:val="3E3E3E" w:themeColor="text2" w:themeTint="E6"/>
          <w:sz w:val="28"/>
        </w:rPr>
      </w:pPr>
      <w:r>
        <w:rPr>
          <w:rFonts w:hint="eastAsia" w:ascii="Microsoft YaHei UI" w:hAnsi="Microsoft YaHei UI" w:eastAsia="Microsoft YaHei UI"/>
          <w:iCs w:val="1"/>
          <w:color w:val="3E3E3E" w:themeColor="text2" w:themeTint="E6"/>
          <w:sz w:val="28"/>
          <w:lang/>
        </w:rPr>
        <w:t>最小投入资金</w:t>
      </w:r>
    </w:p>
    <w:p>
      <w:pPr>
        <w:pStyle w:val="ec1540"/>
        <w:numPr>
          <w:ilvl w:val="0"/>
          <w:numId w:val="0"/>
        </w:numPr>
        <w:pBdr/>
        <w:ind w:left="389"/>
        <w:rPr>
          <w:rFonts w:hint="eastAsia" w:ascii="Microsoft YaHei UI" w:hAnsi="Microsoft YaHei UI" w:eastAsia="Microsoft YaHei UI"/>
          <w:iCs w:val="1"/>
          <w:color w:val="3E3E3E" w:themeColor="text2" w:themeTint="E6"/>
          <w:sz w:val="28"/>
          <w:lang/>
        </w:rPr>
      </w:pPr>
      <w:r>
        <w:rPr>
          <w:rFonts w:hint="eastAsia" w:ascii="Microsoft YaHei UI" w:hAnsi="Microsoft YaHei UI" w:eastAsia="Microsoft YaHei UI"/>
          <w:lang/>
        </w:rPr>
        <w:t>由于单只股票的价格一般在10~20元，买一手股票100股需要2000元。而策略建议至少持有10支~20支股票，即2W~4W的最小投入资金。【持有20支为佳，避免单一股票跌停的巨大策略净值波动，带来的心理冲突】</w:t>
      </w:r>
    </w:p>
    <w:p>
      <w:pPr>
        <w:pStyle w:val="ec1540"/>
        <w:numPr>
          <w:ilvl w:val="0"/>
          <w:numId w:val="0"/>
        </w:numPr>
        <w:pBdr>
          <w:bottom/>
        </w:pBdr>
        <w:ind w:left="389"/>
        <w:rPr>
          <w:rFonts w:hint="eastAsia" w:ascii="Microsoft YaHei UI" w:hAnsi="Microsoft YaHei UI" w:eastAsia="Microsoft YaHei UI"/>
          <w:iCs w:val="1"/>
          <w:color w:val="3E3E3E" w:themeColor="text2" w:themeTint="E6"/>
          <w:sz w:val="28"/>
        </w:rPr>
      </w:pPr>
      <w:r>
        <w:rPr>
          <w:rFonts w:hint="eastAsia" w:ascii="Microsoft YaHei UI" w:hAnsi="Microsoft YaHei UI" w:eastAsia="Microsoft YaHei UI"/>
          <w:lang/>
        </w:rPr>
        <w:t xml:space="preserve">结论：仓位管理20%以下+4W的最小投入资金，策略用户的资金量建议在20万之上。 </w:t>
      </w:r>
    </w:p>
    <w:p>
      <w:pPr>
        <w:pStyle w:val="b74117"/>
        <w:ind/>
        <w:rPr>
          <w:rFonts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5、</w:t>
      </w:r>
      <w:r>
        <w:rPr>
          <w:rFonts w:hint="eastAsia" w:ascii="Microsoft YaHei UI" w:hAnsi="Microsoft YaHei UI" w:eastAsia="Microsoft YaHei UI"/>
          <w:lang/>
        </w:rPr>
        <w:t>后续工作</w:t>
      </w:r>
    </w:p>
    <w:p>
      <w:pPr>
        <w:pStyle w:val="ec1540"/>
        <w:pBdr>
          <w:bottom/>
        </w:pBdr>
        <w:ind/>
        <w:rPr>
          <w:rFonts w:ascii="Microsoft YaHei UI" w:hAnsi="Microsoft YaHei UI" w:eastAsia="Microsoft YaHei UI"/>
          <w:iCs w:val="1"/>
          <w:color w:val="3E3E3E" w:themeColor="text2" w:themeTint="E6"/>
          <w:sz w:val="28"/>
          <w:lang/>
        </w:rPr>
      </w:pPr>
      <w:r>
        <w:rPr>
          <w:rFonts w:hint="eastAsia" w:ascii="Microsoft YaHei UI" w:hAnsi="Microsoft YaHei UI" w:eastAsia="Microsoft YaHei UI"/>
          <w:iCs w:val="1"/>
          <w:color w:val="3E3E3E" w:themeColor="text2" w:themeTint="E6"/>
          <w:sz w:val="28"/>
          <w:lang/>
        </w:rPr>
        <w:t>研究二八转动，即大小盘切换，进行回测验证</w:t>
      </w:r>
    </w:p>
    <w:p>
      <w:pPr>
        <w:pStyle w:val="ec1540"/>
        <w:pBdr>
          <w:bottom/>
        </w:pBdr>
        <w:ind/>
        <w:rPr>
          <w:rFonts w:ascii="Microsoft YaHei UI" w:hAnsi="Microsoft YaHei UI" w:eastAsia="Microsoft YaHei UI" w:cstheme="majorBidi"/>
          <w:b w:val="1"/>
          <w:color w:val="7A4F13" w:themeColor="accent1" w:themeShade="80"/>
          <w:sz w:val="38"/>
          <w:szCs w:val="26"/>
          <w:lang w:val="zh-CN" w:bidi="zh-CN"/>
        </w:rPr>
      </w:pPr>
      <w:r>
        <w:rPr>
          <w:rFonts w:hint="eastAsia" w:ascii="Microsoft YaHei UI" w:hAnsi="Microsoft YaHei UI" w:eastAsia="Microsoft YaHei UI"/>
          <w:iCs w:val="1"/>
          <w:color w:val="3E3E3E" w:themeColor="text2" w:themeTint="E6"/>
          <w:sz w:val="28"/>
          <w:lang/>
        </w:rPr>
        <w:t>尝试日轮+止损，减少最大回撤</w:t>
      </w:r>
      <w:r>
        <w:rPr>
          <w:rFonts w:ascii="Microsoft YaHei UI" w:hAnsi="Microsoft YaHei UI" w:eastAsia="Microsoft YaHei UI" w:cstheme="majorBidi"/>
          <w:b w:val="1"/>
          <w:color w:val="7A4F13" w:themeColor="accent1" w:themeShade="80"/>
          <w:sz w:val="38"/>
          <w:szCs w:val="26"/>
          <w:lang w:val="zh-CN" w:bidi="zh-CN"/>
        </w:rPr>
        <w:br w:type="page"/>
      </w:r>
    </w:p>
    <w:p>
      <w:pPr>
        <w:pStyle w:val="b74117"/>
        <w:ind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>6</w:t>
      </w:r>
      <w:r>
        <w:rPr>
          <w:rFonts w:hint="eastAsia" w:ascii="Microsoft YaHei UI" w:hAnsi="Microsoft YaHei UI" w:eastAsia="Microsoft YaHei UI"/>
        </w:rPr>
        <w:t>、引用资料</w:t>
      </w:r>
    </w:p>
    <w:p>
      <w:pPr>
        <w:rPr>
          <w:rFonts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  <w:lang/>
        </w:rPr>
        <w:t>略</w:t>
      </w:r>
    </w:p>
    <w:sectPr>
      <w:headerReference r:id="rId7" w:type="default"/>
      <w:headerReference r:id="rId9" w:type="even"/>
      <w:headerReference r:id="rId8" w:type="first"/>
      <w:footerReference r:id="rId11" w:type="default"/>
      <w:footerReference r:id="rId12" w:type="first"/>
      <w:footerReference r:id="rId10" w:type="even"/>
      <w:pgSz w:w="11906" w:h="16838" w:code="9"/>
      <w:pgMar w:top="1440" w:right="1080" w:bottom="1829" w:left="1080" w:header="720" w:footer="792" w:gutter="0"/>
      <w:cols w:space="720"/>
      <w:titlePg w:val="1"/>
      <w:docGrid w:linePitch="381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spacing w:after="0" w:line="240" w:lineRule="auto"/>
        <w:rPr/>
      </w:pPr>
    </w:p>
  </w:endnote>
  <w:endnote w:type="separator" w:id="0">
    <w:p>
      <w:pPr>
        <w:spacing w:after="0" w:line="240" w:lineRule="auto"/>
        <w:rPr/>
      </w:pPr>
    </w:p>
  </w:endnote>
</w:endnotes>
</file>

<file path=word/fontTable.xml><?xml version="1.0" encoding="utf-8"?>
<w:fonts xmlns:w="http://schemas.openxmlformats.org/wordprocessingml/2006/main"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 w:characterSet="ISO-8859-1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 w:characterSet="ISO-8859-1"/>
    <w:family w:val="modern"/>
    <w:pitch w:val="fixed"/>
    <w:sig w:usb0="E10002FF" w:usb1="4000FCFF" w:usb2="00000009" w:usb3="00000000" w:csb0="0000019F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 w:characterSet="ISO-8859-1"/>
    <w:family w:val="swiss"/>
    <w:pitch w:val="variable"/>
    <w:sig w:usb0="E1002EFF" w:usb1="C000605B" w:usb2="00000029" w:usb3="00000000" w:csb0="000101FF" w:csb1="00000000"/>
  </w:font>
  <w:font w:name="Microsoft YaHei UI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 w:characterSet="ISO-8859-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rPr/>
    </w:pPr>
  </w:p>
</w:ftr>
</file>

<file path=word/footer2.xml><?xml version="1.0" encoding="utf-8"?>
<w:ftr xmlns:w="http://schemas.openxmlformats.org/wordprocessingml/2006/main">
  <w:p>
    <w:pPr>
      <w:pStyle w:val="411bd4"/>
      <w:rPr>
        <w:rFonts w:ascii="Microsoft YaHei UI" w:hAnsi="Microsoft YaHei UI" w:eastAsia="Microsoft YaHei UI"/>
      </w:rPr>
    </w:pPr>
    <w:r>
      <w:rPr>
        <w:rFonts w:ascii="Microsoft YaHei UI" w:hAnsi="Microsoft YaHei UI" w:eastAsia="Microsoft YaHei UI"/>
        <w:lang w:val="zh-CN" w:bidi="zh-CN"/>
      </w:rPr>
      <w:fldChar w:fldCharType="begin"/>
    </w:r>
    <w:r>
      <w:rPr>
        <w:rFonts w:ascii="Microsoft YaHei UI" w:hAnsi="Microsoft YaHei UI" w:eastAsia="Microsoft YaHei UI"/>
        <w:lang w:val="zh-CN" w:bidi="zh-CN"/>
      </w:rPr>
      <w:instrText xml:space="preserve"> PAGE   \* MERGEFORMAT </w:instrText>
    </w:r>
    <w:r>
      <w:rPr>
        <w:rFonts w:ascii="Microsoft YaHei UI" w:hAnsi="Microsoft YaHei UI" w:eastAsia="Microsoft YaHei UI"/>
        <w:lang w:val="zh-CN" w:bidi="zh-CN"/>
      </w:rPr>
      <w:fldChar w:fldCharType="separate"/>
    </w:r>
    <w:r>
      <w:rPr>
        <w:rFonts w:ascii="Microsoft YaHei UI" w:hAnsi="Microsoft YaHei UI" w:eastAsia="Microsoft YaHei UI"/>
        <w:noProof w:val="1"/>
        <w:lang w:val="zh-CN" w:bidi="zh-CN"/>
      </w:rPr>
      <w:t>2</w:t>
    </w:r>
    <w:r>
      <w:rPr>
        <w:rFonts w:ascii="Microsoft YaHei UI" w:hAnsi="Microsoft YaHei UI" w:eastAsia="Microsoft YaHei UI"/>
        <w:lang w:val="zh-CN" w:bidi="zh-CN"/>
      </w:rPr>
      <w:fldChar w:fldCharType="end"/>
    </w:r>
  </w:p>
</w:ftr>
</file>

<file path=word/footer3.xml><?xml version="1.0" encoding="utf-8"?>
<w:ftr xmlns:w="http://schemas.openxmlformats.org/wordprocessingml/2006/main">
  <w:p>
    <w:pPr>
      <w:rPr/>
    </w:pPr>
  </w:p>
</w:ftr>
</file>

<file path=word/footnotes.xml><?xml version="1.0" encoding="utf-8"?>
<w:footnotes xmlns:w="http://schemas.openxmlformats.org/wordprocessingml/2006/main">
  <w:footnote w:type="continuationSeparator" w:id="1">
    <w:p>
      <w:pPr>
        <w:spacing w:after="0" w:line="240" w:lineRule="auto"/>
        <w:rPr/>
      </w:pPr>
    </w:p>
  </w:footnote>
  <w:footnote w:type="separator" w:id="0">
    <w:p>
      <w:pPr>
        <w:spacing w:after="0" w:line="240" w:lineRule="auto"/>
        <w:rPr/>
      </w:pPr>
    </w:p>
  </w:footnote>
</w:footnotes>
</file>

<file path=word/header1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百合学姐的财富研究所 Hanson"/>
        </v:shape>
      </w:pict>
    </w:r>
  </w:p>
</w:hdr>
</file>

<file path=word/header2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百合学姐的财富研究所 Hanson"/>
        </v:shape>
      </w:pict>
    </w:r>
  </w:p>
</w:hdr>
</file>

<file path=word/header3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百合学姐的财富研究所 Hanson"/>
        </v:shape>
      </w:pict>
    </w:r>
  </w:p>
</w:hdr>
</file>

<file path=word/numbering.xml><?xml version="1.0" encoding="utf-8"?>
<w:numbering xmlns:w="http://schemas.openxmlformats.org/wordprocessingml/2006/main">
  <w:abstractNum w:abstractNumId="0">
    <w:nsid w:val="014D1BD9"/>
    <w:multiLevelType w:val="hybridMultilevel"/>
    <w:tmpl w:val="13645C26"/>
    <w:lvl w:ilvl="6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  <w:lvl w:ilvl="0">
      <w:start w:val="1"/>
      <w:numFmt w:val="bullet"/>
      <w:lvlText w:val=""/>
      <w:lvlJc w:val="left"/>
      <w:pPr>
        <w:tabs/>
        <w:ind w:left="420" w:hanging="420"/>
      </w:pPr>
      <w:rPr>
        <w:rFonts w:hint="default" w:ascii="Wingdings" w:hAnsi="Wingdings"/>
        <w:u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40"/>
  <w:bordersDoNotSurroundHeader w:val="1"/>
  <w:bordersDoNotSurroundFooter w:val="1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 w:val="1"/>
    <w:compatSetting w:name="compatibilityMode" w:uri="http://schemas.microsoft.com/office/word" w:val="15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</w:compat>
  <w:rsids>
    <w:rsidRoot w:val="00BC233D"/>
    <w:rsid w:val="00025BF7"/>
    <w:rsid w:val="000729C5"/>
    <w:rsid w:val="000A3D55"/>
    <w:rsid w:val="000B30E0"/>
    <w:rsid w:val="000B4B27"/>
    <w:rsid w:val="000F78CC"/>
    <w:rsid w:val="00102BEA"/>
    <w:rsid w:val="00115461"/>
    <w:rsid w:val="001272BA"/>
    <w:rsid w:val="001407D1"/>
    <w:rsid w:val="00147B16"/>
    <w:rsid w:val="001554F9"/>
    <w:rsid w:val="0018638F"/>
    <w:rsid w:val="001A2186"/>
    <w:rsid w:val="001A5ACF"/>
    <w:rsid w:val="002068CB"/>
    <w:rsid w:val="00211EA3"/>
    <w:rsid w:val="00220A46"/>
    <w:rsid w:val="0022117B"/>
    <w:rsid w:val="0024156E"/>
    <w:rsid w:val="0024586D"/>
    <w:rsid w:val="00255862"/>
    <w:rsid w:val="00284FE5"/>
    <w:rsid w:val="0029097C"/>
    <w:rsid w:val="002B1947"/>
    <w:rsid w:val="002C3EDE"/>
    <w:rsid w:val="002E6F76"/>
    <w:rsid w:val="002F7E85"/>
    <w:rsid w:val="0030485E"/>
    <w:rsid w:val="003121E8"/>
    <w:rsid w:val="003213AA"/>
    <w:rsid w:val="003519BC"/>
    <w:rsid w:val="0035457D"/>
    <w:rsid w:val="003932F0"/>
    <w:rsid w:val="00395822"/>
    <w:rsid w:val="003A0DF4"/>
    <w:rsid w:val="003D0A0B"/>
    <w:rsid w:val="003F119E"/>
    <w:rsid w:val="0040452B"/>
    <w:rsid w:val="00415E20"/>
    <w:rsid w:val="00434192"/>
    <w:rsid w:val="00443429"/>
    <w:rsid w:val="00462A93"/>
    <w:rsid w:val="00482916"/>
    <w:rsid w:val="004839CD"/>
    <w:rsid w:val="0048439D"/>
    <w:rsid w:val="00493C7F"/>
    <w:rsid w:val="004B5985"/>
    <w:rsid w:val="004C0878"/>
    <w:rsid w:val="004C5CFE"/>
    <w:rsid w:val="004D086D"/>
    <w:rsid w:val="004D66FB"/>
    <w:rsid w:val="004E7C30"/>
    <w:rsid w:val="00526DA1"/>
    <w:rsid w:val="00546281"/>
    <w:rsid w:val="00566A06"/>
    <w:rsid w:val="00571EF6"/>
    <w:rsid w:val="005859EC"/>
    <w:rsid w:val="005A1F45"/>
    <w:rsid w:val="005B1B1C"/>
    <w:rsid w:val="005E7CEF"/>
    <w:rsid w:val="00602E10"/>
    <w:rsid w:val="0060517D"/>
    <w:rsid w:val="00610A56"/>
    <w:rsid w:val="00635E30"/>
    <w:rsid w:val="00636B98"/>
    <w:rsid w:val="00654001"/>
    <w:rsid w:val="00655910"/>
    <w:rsid w:val="00666F9E"/>
    <w:rsid w:val="0069061B"/>
    <w:rsid w:val="0069376D"/>
    <w:rsid w:val="006D0391"/>
    <w:rsid w:val="006D435B"/>
    <w:rsid w:val="006D700C"/>
    <w:rsid w:val="006E5BFB"/>
    <w:rsid w:val="00766CA2"/>
    <w:rsid w:val="00776844"/>
    <w:rsid w:val="00785EC8"/>
    <w:rsid w:val="007A3FED"/>
    <w:rsid w:val="007A4690"/>
    <w:rsid w:val="00856F21"/>
    <w:rsid w:val="00874A5A"/>
    <w:rsid w:val="008960B6"/>
    <w:rsid w:val="008C5297"/>
    <w:rsid w:val="008C6729"/>
    <w:rsid w:val="008E1F75"/>
    <w:rsid w:val="00912EF2"/>
    <w:rsid w:val="0094092A"/>
    <w:rsid w:val="009559AF"/>
    <w:rsid w:val="00963E6C"/>
    <w:rsid w:val="009812BE"/>
    <w:rsid w:val="00990B8D"/>
    <w:rsid w:val="009A0575"/>
    <w:rsid w:val="009A3311"/>
    <w:rsid w:val="009B1E6A"/>
    <w:rsid w:val="009C213A"/>
    <w:rsid w:val="009C5B12"/>
    <w:rsid w:val="009F03F9"/>
    <w:rsid w:val="00A21C95"/>
    <w:rsid w:val="00A661DF"/>
    <w:rsid w:val="00A90497"/>
    <w:rsid w:val="00A90934"/>
    <w:rsid w:val="00A90DD6"/>
    <w:rsid w:val="00AA1887"/>
    <w:rsid w:val="00AC1807"/>
    <w:rsid w:val="00AC1CE1"/>
    <w:rsid w:val="00AC2A17"/>
    <w:rsid w:val="00AC57CE"/>
    <w:rsid w:val="00AE135D"/>
    <w:rsid w:val="00B00D7C"/>
    <w:rsid w:val="00B02D8D"/>
    <w:rsid w:val="00B104EB"/>
    <w:rsid w:val="00B22024"/>
    <w:rsid w:val="00B327D4"/>
    <w:rsid w:val="00B34B9E"/>
    <w:rsid w:val="00B45641"/>
    <w:rsid w:val="00B548DD"/>
    <w:rsid w:val="00B72DAB"/>
    <w:rsid w:val="00B8504D"/>
    <w:rsid w:val="00B854A2"/>
    <w:rsid w:val="00B85A4B"/>
    <w:rsid w:val="00B87A6C"/>
    <w:rsid w:val="00BA39EE"/>
    <w:rsid w:val="00BB26F9"/>
    <w:rsid w:val="00BC233D"/>
    <w:rsid w:val="00BD27D6"/>
    <w:rsid w:val="00BE3CDC"/>
    <w:rsid w:val="00C04625"/>
    <w:rsid w:val="00C056CB"/>
    <w:rsid w:val="00C822C3"/>
    <w:rsid w:val="00CA1C3C"/>
    <w:rsid w:val="00CB4FCE"/>
    <w:rsid w:val="00CB6F52"/>
    <w:rsid w:val="00CC3A7F"/>
    <w:rsid w:val="00CD749A"/>
    <w:rsid w:val="00CF0F01"/>
    <w:rsid w:val="00CF36A2"/>
    <w:rsid w:val="00D2331B"/>
    <w:rsid w:val="00D31FBE"/>
    <w:rsid w:val="00D50849"/>
    <w:rsid w:val="00D54F24"/>
    <w:rsid w:val="00D63E1D"/>
    <w:rsid w:val="00D7246A"/>
    <w:rsid w:val="00D807E1"/>
    <w:rsid w:val="00D81478"/>
    <w:rsid w:val="00DD05B9"/>
    <w:rsid w:val="00DD0931"/>
    <w:rsid w:val="00DD2B65"/>
    <w:rsid w:val="00DF02BF"/>
    <w:rsid w:val="00DF2C43"/>
    <w:rsid w:val="00E05B21"/>
    <w:rsid w:val="00E2268F"/>
    <w:rsid w:val="00E55EEA"/>
    <w:rsid w:val="00E81C4F"/>
    <w:rsid w:val="00E82C80"/>
    <w:rsid w:val="00E94449"/>
    <w:rsid w:val="00EB208A"/>
    <w:rsid w:val="00EF49F2"/>
    <w:rsid w:val="00EF6096"/>
    <w:rsid w:val="00F03AFA"/>
    <w:rsid w:val="00F20BCC"/>
    <w:rsid w:val="00F23964"/>
    <w:rsid w:val="00F449CB"/>
    <w:rsid w:val="00F8187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2A2A2A" w:themeColor="text2"/>
        <w:sz w:val="22"/>
        <w:szCs w:val="22"/>
        <w:lang w:val="en-US" w:eastAsia="zh-CN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Colorful Grid Accent 1" w:uiPriority="73"/>
    <w:lsdException w:name="Colorful Grid" w:uiPriority="73"/>
    <w:lsdException w:name="Table Subtle 1" w:semiHidden="1" w:unhideWhenUsed="1"/>
    <w:lsdException w:name="Outline List 3" w:semiHidden="1" w:unhideWhenUsed="1"/>
    <w:lsdException w:name="Quote" w:uiPriority="29" w:semiHidden="1" w:unhideWhenUsed="1" w:qFormat="1"/>
    <w:lsdException w:name="Light Shading Accent 3" w:uiPriority="60"/>
    <w:lsdException w:name="Grid Table 3" w:uiPriority="48"/>
    <w:lsdException w:name="Closing" w:semiHidden="1" w:unhideWhenUsed="1"/>
    <w:lsdException w:name="Medium Shading 1 Accent 5" w:uiPriority="63"/>
    <w:lsdException w:name="List Table 2 Accent 4" w:uiPriority="47"/>
    <w:lsdException w:name="List Table 2 Accent 1" w:uiPriority="47"/>
    <w:lsdException w:name="Unresolved Mention" w:semiHidden="1" w:unhideWhenUsed="1"/>
    <w:lsdException w:name="index 1" w:semiHidden="1" w:unhideWhenUsed="1"/>
    <w:lsdException w:name="endnote text" w:semiHidden="1" w:unhideWhenUsed="1"/>
    <w:lsdException w:name="Light Shading Accent 4" w:uiPriority="60"/>
    <w:lsdException w:name="Grid Table 4 Accent 1" w:uiPriority="49"/>
    <w:lsdException w:name="Light List Accent 1" w:uiPriority="61"/>
    <w:lsdException w:name="footnote reference" w:semiHidden="1" w:unhideWhenUsed="1"/>
    <w:lsdException w:name="Normal (Web)" w:semiHidden="1" w:unhideWhenUsed="1"/>
    <w:lsdException w:name="Table Classic 3" w:semiHidden="1" w:unhideWhenUsed="1"/>
    <w:lsdException w:name="footnote text" w:semiHidden="1" w:unhideWhenUsed="1"/>
    <w:lsdException w:name="List Continue 2" w:semiHidden="1" w:unhideWhenUsed="1"/>
    <w:lsdException w:name="Table Columns 2" w:semiHidden="1" w:unhideWhenUsed="1"/>
    <w:lsdException w:name="List Table 7 Colorful Accent 6" w:uiPriority="52"/>
    <w:lsdException w:name="Colorful Grid Accent 6" w:uiPriority="73"/>
    <w:lsdException w:name="Medium Grid 3 Accent 2" w:uiPriority="69"/>
    <w:lsdException w:name="List Table 7 Colorful Accent 2" w:uiPriority="52"/>
    <w:lsdException w:name="Plain Table 4" w:uiPriority="44"/>
    <w:lsdException w:name="List Table 4 Accent 5" w:uiPriority="49"/>
    <w:lsdException w:name="Medium Shading 2 Accent 4" w:uiPriority="64"/>
    <w:lsdException w:name="Colorful Shading Accent 2" w:uiPriority="71"/>
    <w:lsdException w:name="Medium Grid 1 Accent 2" w:uiPriority="67"/>
    <w:lsdException w:name="Medium Grid 1" w:uiPriority="67"/>
    <w:lsdException w:name="annotation reference" w:semiHidden="1" w:unhideWhenUsed="1"/>
    <w:lsdException w:name="Colorful List Accent 2" w:uiPriority="72"/>
    <w:lsdException w:name="Subtle Emphasis" w:uiPriority="19" w:semiHidden="1" w:unhideWhenUsed="1" w:qFormat="1"/>
    <w:lsdException w:name="List Table 5 Dark Accent 3" w:uiPriority="50"/>
    <w:lsdException w:name="Body Text 2" w:semiHidden="1" w:unhideWhenUsed="1"/>
    <w:lsdException w:name="Medium Shading 1 Accent 3" w:uiPriority="63"/>
    <w:lsdException w:name="Grid Table 3 Accent 5" w:uiPriority="48"/>
    <w:lsdException w:name="Medium Grid 2" w:uiPriority="68"/>
    <w:lsdException w:name="List Table 2" w:uiPriority="47"/>
    <w:lsdException w:name="Grid Table 7 Colorful Accent 3" w:uiPriority="52"/>
    <w:lsdException w:name="List Table 7 Colorful Accent 1" w:uiPriority="52"/>
    <w:lsdException w:name="Grid Table 3 Accent 4" w:uiPriority="48"/>
    <w:lsdException w:name="List Table 1 Light" w:uiPriority="46"/>
    <w:lsdException w:name="List Table 6 Colorful Accent 3" w:uiPriority="51"/>
    <w:lsdException w:name="index 3" w:semiHidden="1" w:unhideWhenUsed="1"/>
    <w:lsdException w:name="HTML Acronym" w:semiHidden="1" w:unhideWhenUsed="1"/>
    <w:lsdException w:name="Medium List 2" w:uiPriority="66"/>
    <w:lsdException w:name="Table Colorful 1" w:semiHidden="1" w:unhideWhenUsed="1"/>
    <w:lsdException w:name="List Table 5 Dark Accent 5" w:uiPriority="50"/>
    <w:lsdException w:name="Normal Table" w:semiHidden="1" w:unhideWhenUsed="1"/>
    <w:lsdException w:name="Mention" w:semiHidden="1" w:unhideWhenUsed="1"/>
    <w:lsdException w:name="Colorful List Accent 4" w:uiPriority="72"/>
    <w:lsdException w:name="List Table 4 Accent 2" w:uiPriority="49"/>
    <w:lsdException w:name="Grid Table 6 Colorful" w:uiPriority="51"/>
    <w:lsdException w:name="Colorful Shading" w:uiPriority="71"/>
    <w:lsdException w:name="Medium Shading 1 Accent 4" w:uiPriority="63"/>
    <w:lsdException w:name="Grid Table 5 Dark Accent 5" w:uiPriority="50"/>
    <w:lsdException w:name="Table Grid 5" w:semiHidden="1" w:unhideWhenUsed="1"/>
    <w:lsdException w:name="List Table 1 Light Accent 6" w:uiPriority="46"/>
    <w:lsdException w:name="Table Professional" w:semiHidden="1" w:unhideWhenUsed="1"/>
    <w:lsdException w:name="Medium Grid 2 Accent 1" w:uiPriority="68"/>
    <w:lsdException w:name="index 8" w:semiHidden="1" w:unhideWhenUsed="1"/>
    <w:lsdException w:name="Medium List 2 Accent 5" w:uiPriority="66"/>
    <w:lsdException w:name="Table List 5" w:semiHidden="1" w:unhideWhenUsed="1"/>
    <w:lsdException w:name="index 7" w:semiHidden="1" w:unhideWhenUsed="1"/>
    <w:lsdException w:name="Grid Table 6 Colorful Accent 6" w:uiPriority="51"/>
    <w:lsdException w:name="Grid Table 1 Light Accent 4" w:uiPriority="46"/>
    <w:lsdException w:name="Medium List 1 Accent 1" w:uiPriority="65"/>
    <w:lsdException w:name="Body Text" w:semiHidden="1" w:unhideWhenUsed="1"/>
    <w:lsdException w:name="Grid Table 4 Accent 3" w:uiPriority="49"/>
    <w:lsdException w:name="Grid Table 2 Accent 2" w:uiPriority="47"/>
    <w:lsdException w:name="Grid Table 2" w:uiPriority="47"/>
    <w:lsdException w:name="Medium Grid 3 Accent 5" w:uiPriority="69"/>
    <w:lsdException w:name="table of authorities" w:semiHidden="1" w:unhideWhenUsed="1"/>
    <w:lsdException w:name="List Continue 4" w:semiHidden="1" w:unhideWhenUsed="1"/>
    <w:lsdException w:name="Table Simple 1" w:semiHidden="1" w:unhideWhenUsed="1"/>
    <w:lsdException w:name="Colorful List Accent 6" w:uiPriority="72"/>
    <w:lsdException w:name="List Table 5 Dark Accent 4" w:uiPriority="50"/>
    <w:lsdException w:name="List Table 7 Colorful Accent 4" w:uiPriority="52"/>
    <w:lsdException w:name="Medium Shading 1 Accent 1" w:uiPriority="63"/>
    <w:lsdException w:name="List Table 1 Light Accent 3" w:uiPriority="46"/>
    <w:lsdException w:name="Table List 4" w:semiHidden="1" w:unhideWhenUsed="1"/>
    <w:lsdException w:name="index 2" w:semiHidden="1" w:unhideWhenUsed="1"/>
    <w:lsdException w:name="Grid Table 5 Dark Accent 6" w:uiPriority="50"/>
    <w:lsdException w:name="Medium Grid 2 Accent 4" w:uiPriority="68"/>
    <w:lsdException w:name="Medium Grid 3 Accent 4" w:uiPriority="69"/>
    <w:lsdException w:name="Colorful Shading Accent 3" w:uiPriority="71"/>
    <w:lsdException w:name="toc 1" w:uiPriority="39" w:semiHidden="1" w:unhideWhenUsed="1"/>
    <w:lsdException w:name="Dark List Accent 4" w:uiPriority="70"/>
    <w:lsdException w:name="Bibliography" w:uiPriority="37" w:semiHidden="1" w:unhideWhenUsed="1"/>
    <w:lsdException w:name="heading 8" w:uiPriority="9" w:semiHidden="1" w:unhideWhenUsed="1" w:qFormat="1"/>
    <w:lsdException w:name="caption" w:uiPriority="35" w:semiHidden="1" w:unhideWhenUsed="1" w:qFormat="1"/>
    <w:lsdException w:name="Grid Table 6 Colorful Accent 2" w:uiPriority="51"/>
    <w:lsdException w:name="List Paragraph" w:uiPriority="34" w:semiHidden="1" w:unhideWhenUsed="1" w:qFormat="1"/>
    <w:lsdException w:name="Light Grid Accent 6" w:uiPriority="62"/>
    <w:lsdException w:name="List Table 3 Accent 6" w:uiPriority="48"/>
    <w:lsdException w:name="Grid Table 1 Light Accent 3" w:uiPriority="46"/>
    <w:lsdException w:name="Medium List 2 Accent 6" w:uiPriority="66"/>
    <w:lsdException w:name="Table 3D effects 1" w:semiHidden="1" w:unhideWhenUsed="1"/>
    <w:lsdException w:name="Body Text Indent" w:semiHidden="1" w:unhideWhenUsed="1"/>
    <w:lsdException w:name="Table Columns 1" w:semiHidden="1" w:unhideWhenUsed="1"/>
    <w:lsdException w:name="Medium Grid 3 Accent 1" w:uiPriority="69"/>
    <w:lsdException w:name="List Table 3" w:uiPriority="48"/>
    <w:lsdException w:name="Medium List 1 Accent 6" w:uiPriority="65"/>
    <w:lsdException w:name="Medium Grid 2 Accent 2" w:uiPriority="68"/>
    <w:lsdException w:name="Normal Indent" w:semiHidden="1" w:unhideWhenUsed="1"/>
    <w:lsdException w:name="annotation text" w:semiHidden="1" w:unhideWhenUsed="1"/>
    <w:lsdException w:name="Medium Grid 3 Accent 3" w:uiPriority="69"/>
    <w:lsdException w:name="List Table 3 Accent 1" w:uiPriority="48"/>
    <w:lsdException w:name="Table Theme" w:semiHidden="1" w:unhideWhenUsed="1"/>
    <w:lsdException w:name="Grid Table 4 Accent 2" w:uiPriority="49"/>
    <w:lsdException w:name="Colorful List Accent 1" w:uiPriority="72"/>
    <w:lsdException w:name="Colorful Shading Accent 6" w:uiPriority="71"/>
    <w:lsdException w:name="index 5" w:semiHidden="1" w:unhideWhenUsed="1"/>
    <w:lsdException w:name="Light Shading" w:uiPriority="60"/>
    <w:lsdException w:name="Medium Grid 3" w:uiPriority="69"/>
    <w:lsdException w:name="Medium Grid 1 Accent 5" w:uiPriority="67"/>
    <w:lsdException w:name="index 4" w:semiHidden="1" w:unhideWhenUsed="1"/>
    <w:lsdException w:name="Table Colorful 3" w:semiHidden="1" w:unhideWhenUsed="1"/>
    <w:lsdException w:name="Medium List 2 Accent 3" w:uiPriority="66"/>
    <w:lsdException w:name="Light Grid" w:uiPriority="62"/>
    <w:lsdException w:name="Table List 7" w:semiHidden="1" w:unhideWhenUsed="1"/>
    <w:lsdException w:name="Body Text Indent 2" w:semiHidden="1" w:unhideWhenUsed="1"/>
    <w:lsdException w:name="Document Map" w:semiHidden="1" w:unhideWhenUsed="1"/>
    <w:lsdException w:name="HTML Typewriter" w:semiHidden="1" w:unhideWhenUsed="1"/>
    <w:lsdException w:name="Plain Text" w:semiHidden="1" w:unhideWhenUsed="1"/>
    <w:lsdException w:name="Table Contemporary" w:semiHidden="1" w:unhideWhenUsed="1"/>
    <w:lsdException w:name="List Table 6 Colorful" w:uiPriority="51"/>
    <w:lsdException w:name="Grid Table 4 Accent 4" w:uiPriority="49"/>
    <w:lsdException w:name="Light List Accent 2" w:uiPriority="61"/>
    <w:lsdException w:name="Grid Table 5 Dark Accent 1" w:uiPriority="50"/>
    <w:lsdException w:name="List Table 2 Accent 6" w:uiPriority="47"/>
    <w:lsdException w:name="Light Grid Accent 1" w:uiPriority="62"/>
    <w:lsdException w:name="Grid Table 7 Colorful Accent 1" w:uiPriority="52"/>
    <w:lsdException w:name="Grid Table 6 Colorful Accent 5" w:uiPriority="51"/>
    <w:lsdException w:name="Grid Table 1 Light Accent 2" w:uiPriority="46"/>
    <w:lsdException w:name="Hashtag" w:semiHidden="1" w:unhideWhenUsed="1"/>
    <w:lsdException w:name="Medium List 1 Accent 5" w:uiPriority="65"/>
    <w:lsdException w:name="Grid Table 4" w:uiPriority="49"/>
    <w:lsdException w:name="List" w:semiHidden="1" w:unhideWhenUsed="1"/>
    <w:lsdException w:name="Light List" w:uiPriority="61"/>
    <w:lsdException w:name="Colorful List Accent 5" w:uiPriority="72"/>
    <w:lsdException w:name="List Table 3 Accent 3" w:uiPriority="48"/>
    <w:lsdException w:name="Grid Table 7 Colorful Accent 5" w:uiPriority="52"/>
    <w:lsdException w:name="HTML Address" w:semiHidden="1" w:unhideWhenUsed="1"/>
    <w:lsdException w:name="Placeholder Text" w:semiHidden="1"/>
    <w:lsdException w:name="page number" w:semiHidden="1" w:unhideWhenUsed="1"/>
    <w:lsdException w:name="Table Subtle 2" w:semiHidden="1" w:unhideWhenUsed="1"/>
    <w:lsdException w:name="Colorful Grid Accent 2" w:uiPriority="73"/>
    <w:lsdException w:name="heading 7" w:uiPriority="9" w:semiHidden="1" w:unhideWhenUsed="1" w:qFormat="1"/>
    <w:lsdException w:name="Grid Table 2 Accent 3" w:uiPriority="47"/>
    <w:lsdException w:name="Smart Hyperlink" w:semiHidden="1" w:unhideWhenUsed="1"/>
    <w:lsdException w:name="Dark List Accent 2" w:uiPriority="70"/>
    <w:lsdException w:name="Table Grid 6" w:semiHidden="1" w:unhideWhenUsed="1"/>
    <w:lsdException w:name="Medium List 1 Accent 2" w:uiPriority="65"/>
    <w:lsdException w:name="Medium Grid 2 Accent 6" w:uiPriority="68"/>
    <w:lsdException w:name="Dark List Accent 1" w:uiPriority="70"/>
    <w:lsdException w:name="TOC Heading" w:uiPriority="39" w:semiHidden="1" w:unhideWhenUsed="1" w:qFormat="1"/>
    <w:lsdException w:name="toc 6" w:uiPriority="39" w:semiHidden="1" w:unhideWhenUsed="1"/>
    <w:lsdException w:name="Grid Table 3 Accent 6" w:uiPriority="48"/>
    <w:lsdException w:name="Grid Table 7 Colorful Accent 4" w:uiPriority="52"/>
    <w:lsdException w:name="Grid Table 2 Accent 6" w:uiPriority="47"/>
    <w:lsdException w:name="List Bullet 4" w:semiHidden="1" w:unhideWhenUsed="1"/>
    <w:lsdException w:name="List Table 3 Accent 4" w:uiPriority="48"/>
    <w:lsdException w:name="Medium List 2 Accent 2" w:uiPriority="66"/>
    <w:lsdException w:name="Medium Shading 2 Accent 2" w:uiPriority="64"/>
    <w:lsdException w:name="List Table 5 Dark Accent 6" w:uiPriority="50"/>
    <w:lsdException w:name="Medium Grid 1 Accent 6" w:uiPriority="67"/>
    <w:lsdException w:name="Light List Accent 5" w:uiPriority="61"/>
    <w:lsdException w:name="List Continue 3" w:semiHidden="1" w:unhideWhenUsed="1"/>
    <w:lsdException w:name="Table List 6" w:semiHidden="1" w:unhideWhenUsed="1"/>
    <w:lsdException w:name="Colorful Shading Accent 4" w:uiPriority="71"/>
    <w:lsdException w:name="Light Grid Accent 5" w:uiPriority="62"/>
    <w:lsdException w:name="Grid Table 7 Colorful" w:uiPriority="52"/>
    <w:lsdException w:name="List Table 4 Accent 4" w:uiPriority="49"/>
    <w:lsdException w:name="List 4" w:semiHidden="1" w:unhideWhenUsed="1"/>
    <w:lsdException w:name="Light Grid Accent 2" w:uiPriority="62"/>
    <w:lsdException w:name="List 3" w:semiHidden="1" w:unhideWhenUsed="1"/>
    <w:lsdException w:name="HTML Keyboard" w:semiHidden="1" w:unhideWhenUsed="1"/>
    <w:lsdException w:name="Table List 3" w:semiHidden="1" w:unhideWhenUsed="1"/>
    <w:lsdException w:name="Signature" w:semiHidden="1" w:unhideWhenUsed="1"/>
    <w:lsdException w:name="Dark List Accent 5" w:uiPriority="70"/>
    <w:lsdException w:name="Medium List 1" w:uiPriority="65"/>
    <w:lsdException w:name="Table Classic 2" w:semiHidden="1" w:unhideWhenUsed="1"/>
    <w:lsdException w:name="Table 3D effects 3" w:semiHidden="1" w:unhideWhenUsed="1"/>
    <w:lsdException w:name="HTML Bottom of Form" w:semiHidden="1" w:unhideWhenUsed="1"/>
    <w:lsdException w:name="List Number 5" w:semiHidden="1" w:unhideWhenUsed="1"/>
    <w:lsdException w:name="toc 8" w:uiPriority="39" w:semiHidden="1" w:unhideWhenUsed="1"/>
    <w:lsdException w:name="Grid Table 3 Accent 2" w:uiPriority="48"/>
    <w:lsdException w:name="Note Heading" w:semiHidden="1" w:unhideWhenUsed="1"/>
    <w:lsdException w:name="Light Shading Accent 2" w:uiPriority="60"/>
    <w:lsdException w:name="List Table 1 Light Accent 2" w:uiPriority="46"/>
    <w:lsdException w:name="Grid Table 1 Light Accent 1" w:uiPriority="46"/>
    <w:lsdException w:name="Subtle Reference" w:uiPriority="31" w:semiHidden="1" w:unhideWhenUsed="1" w:qFormat="1"/>
    <w:lsdException w:name="Plain Table 2" w:uiPriority="42"/>
    <w:lsdException w:name="Outline List 1" w:semiHidden="1" w:unhideWhenUsed="1"/>
    <w:lsdException w:name="heading 5" w:uiPriority="9" w:semiHidden="1" w:unhideWhenUsed="1" w:qFormat="1"/>
    <w:lsdException w:name="heading 4" w:uiPriority="9" w:semiHidden="1" w:unhideWhenUsed="1" w:qFormat="1"/>
    <w:lsdException w:name="toc 3" w:uiPriority="39" w:semiHidden="1" w:unhideWhenUsed="1"/>
    <w:lsdException w:name="List Table 5 Dark Accent 1" w:uiPriority="50"/>
    <w:lsdException w:name="HTML Top of Form" w:semiHidden="1" w:unhideWhenUsed="1"/>
    <w:lsdException w:name="Grid Table 6 Colorful Accent 3" w:uiPriority="51"/>
    <w:lsdException w:name="Plain Table 1" w:uiPriority="41"/>
    <w:lsdException w:name="Medium Grid 1 Accent 3" w:uiPriority="67"/>
    <w:lsdException w:name="Colorful List Accent 3" w:uiPriority="72"/>
    <w:lsdException w:name="envelope address" w:semiHidden="1" w:unhideWhenUsed="1"/>
    <w:lsdException w:name="Table Classic 1" w:semiHidden="1" w:unhideWhenUsed="1"/>
    <w:lsdException w:name="Grid Table 5 Dark Accent 4" w:uiPriority="50"/>
    <w:lsdException w:name="Light Shading Accent 5" w:uiPriority="60"/>
    <w:lsdException w:name="HTML Preformatted" w:semiHidden="1" w:unhideWhenUsed="1"/>
    <w:lsdException w:name="List Table 3 Accent 2" w:uiPriority="48"/>
    <w:lsdException w:name="Light List Accent 6" w:uiPriority="61"/>
    <w:lsdException w:name="Medium Shading 2 Accent 1" w:uiPriority="64"/>
    <w:lsdException w:name="List Table 4 Accent 3" w:uiPriority="49"/>
    <w:lsdException w:name="index 6" w:semiHidden="1" w:unhideWhenUsed="1"/>
    <w:lsdException w:name="List Table 4 Accent 1" w:uiPriority="49"/>
    <w:lsdException w:name="Colorful Grid Accent 3" w:uiPriority="73"/>
    <w:lsdException w:name="HTML Code" w:semiHidden="1" w:unhideWhenUsed="1"/>
    <w:lsdException w:name="Plain Table 3" w:uiPriority="43"/>
    <w:lsdException w:name="Medium Shading 2 Accent 5" w:uiPriority="64"/>
    <w:lsdException w:name="Grid Table 2 Accent 5" w:uiPriority="47"/>
    <w:lsdException w:name="Smart Link" w:semiHidden="1" w:unhideWhenUsed="1"/>
    <w:lsdException w:name="No List" w:semiHidden="1" w:unhideWhenUsed="1"/>
    <w:lsdException w:name="Medium Grid 1 Accent 1" w:uiPriority="67"/>
    <w:lsdException w:name="HTML Variable" w:semiHidden="1" w:unhideWhenUsed="1"/>
    <w:lsdException w:name="Grid Table 3 Accent 3" w:uiPriority="48"/>
    <w:lsdException w:name="Colorful List" w:uiPriority="72"/>
    <w:lsdException w:name="List Table 4" w:uiPriority="49"/>
    <w:lsdException w:name="Grid Table 6 Colorful Accent 1" w:uiPriority="51"/>
    <w:lsdException w:name="toc 7" w:uiPriority="39" w:semiHidden="1" w:unhideWhenUsed="1"/>
    <w:lsdException w:name="List Table 7 Colorful Accent 5" w:uiPriority="52"/>
    <w:lsdException w:name="annotation subject" w:semiHidden="1" w:unhideWhenUsed="1"/>
    <w:lsdException w:name="Outline List 2" w:semiHidden="1" w:unhideWhenUsed="1"/>
    <w:lsdException w:name="Table 3D effects 2" w:semiHidden="1" w:unhideWhenUsed="1"/>
    <w:lsdException w:name="index heading" w:semiHidden="1" w:unhideWhenUsed="1"/>
    <w:lsdException w:name="List Table 1 Light Accent 5" w:uiPriority="46"/>
    <w:lsdException w:name="List Bullet" w:uiPriority="10" w:qFormat="1"/>
    <w:lsdException w:name="Dark List Accent 6" w:uiPriority="70"/>
    <w:lsdException w:name="E-mail Signature" w:semiHidden="1" w:unhideWhenUsed="1"/>
    <w:lsdException w:name="Table Grid 3" w:semiHidden="1" w:unhideWhenUsed="1"/>
    <w:lsdException w:name="Intense Quote" w:uiPriority="30" w:semiHidden="1" w:unhideWhenUsed="1" w:qFormat="1"/>
    <w:lsdException w:name="Light Shading Accent 6" w:uiPriority="60"/>
    <w:lsdException w:name="Medium Shading 2 Accent 3" w:uiPriority="64"/>
    <w:lsdException w:name="List Bullet 5" w:semiHidden="1" w:unhideWhenUsed="1"/>
    <w:lsdException w:name="Grid Table 4 Accent 5" w:uiPriority="49"/>
    <w:lsdException w:name="Table List 1" w:semiHidden="1" w:unhideWhenUsed="1"/>
    <w:lsdException w:name="line number" w:semiHidden="1" w:unhideWhenUsed="1"/>
    <w:lsdException w:name="Medium Shading 1 Accent 2" w:uiPriority="63"/>
    <w:lsdException w:name="toc 4" w:uiPriority="39" w:semiHidden="1" w:unhideWhenUsed="1"/>
    <w:lsdException w:name="Balloon Text" w:semiHidden="1" w:unhideWhenUsed="1"/>
    <w:lsdException w:name="Grid Table Light" w:uiPriority="40"/>
    <w:lsdException w:name="Block Text" w:semiHidden="1" w:unhideWhenUsed="1"/>
    <w:lsdException w:name="Colorful Shading Accent 5" w:uiPriority="71"/>
    <w:lsdException w:name="Table Web 3" w:semiHidden="1" w:unhideWhenUsed="1"/>
    <w:lsdException w:name="table of figures" w:semiHidden="1" w:unhideWhenUsed="1"/>
    <w:lsdException w:name="Light Grid Accent 3" w:uiPriority="62"/>
    <w:lsdException w:name="Subtitle" w:uiPriority="11" w:semiHidden="1" w:unhideWhenUsed="1" w:qFormat="1"/>
    <w:lsdException w:name="Table Classic 4" w:semiHidden="1" w:unhideWhenUsed="1"/>
    <w:lsdException w:name="List 5" w:semiHidden="1" w:unhideWhenUsed="1"/>
    <w:lsdException w:name="Grid Table 7 Colorful Accent 6" w:uiPriority="52"/>
    <w:lsdException w:name="Revision" w:semiHidden="1"/>
    <w:lsdException w:name="Medium List 1 Accent 3" w:uiPriority="65"/>
    <w:lsdException w:name="List Bullet 3" w:semiHidden="1" w:unhideWhenUsed="1"/>
    <w:lsdException w:name="HTML Definition" w:semiHidden="1" w:unhideWhenUsed="1"/>
    <w:lsdException w:name="HTML Sample" w:semiHidden="1" w:unhideWhenUsed="1"/>
    <w:lsdException w:name="heading 6" w:uiPriority="9" w:semiHidden="1" w:unhideWhenUsed="1" w:qFormat="1"/>
    <w:lsdException w:name="Medium List 2 Accent 4" w:uiPriority="66"/>
    <w:lsdException w:name="Grid Table 6 Colorful Accent 4" w:uiPriority="51"/>
    <w:lsdException w:name="List Continue 5" w:semiHidden="1" w:unhideWhenUsed="1"/>
    <w:lsdException w:name="Medium Grid 3 Accent 6" w:uiPriority="69"/>
    <w:lsdException w:name="List Table 3 Accent 5" w:uiPriority="48"/>
    <w:lsdException w:name="Table Elegant" w:semiHidden="1" w:unhideWhenUsed="1"/>
    <w:lsdException w:name="Colorful Shading Accent 1" w:uiPriority="71"/>
    <w:lsdException w:name="Medium List 1 Accent 4" w:uiPriority="65"/>
    <w:lsdException w:name="Book Title" w:uiPriority="33" w:semiHidden="1" w:unhideWhenUsed="1" w:qFormat="1"/>
    <w:lsdException w:name="Grid Table 2 Accent 4" w:uiPriority="47"/>
    <w:lsdException w:name="List Table 6 Colorful Accent 1" w:uiPriority="51"/>
    <w:lsdException w:name="envelope return" w:semiHidden="1" w:unhideWhenUsed="1"/>
    <w:lsdException w:name="Normal" w:uiPriority="0" w:qFormat="1"/>
    <w:lsdException w:name="Grid Table 2 Accent 1" w:uiPriority="47"/>
    <w:lsdException w:name="toc 2" w:uiPriority="39" w:semiHidden="1" w:unhideWhenUsed="1"/>
    <w:lsdException w:name="No Spacing" w:semiHidden="1" w:unhideWhenUsed="1" w:qFormat="1"/>
    <w:lsdException w:name="Plain Table 5" w:uiPriority="45"/>
    <w:lsdException w:name="Medium Grid 2 Accent 5" w:uiPriority="68"/>
    <w:lsdException w:name="Colorful Grid Accent 4" w:uiPriority="73"/>
    <w:lsdException w:name="Table Columns 3" w:semiHidden="1" w:unhideWhenUsed="1"/>
    <w:lsdException w:name="Light Grid Accent 4" w:uiPriority="62"/>
    <w:lsdException w:name="List Bullet 2" w:semiHidden="1" w:unhideWhenUsed="1"/>
    <w:lsdException w:name="Grid Table 1 Light" w:uiPriority="46"/>
    <w:lsdException w:name="Body Text First Indent 2" w:semiHidden="1" w:unhideWhenUsed="1"/>
    <w:lsdException w:name="Table Grid 4" w:semiHidden="1" w:unhideWhenUsed="1"/>
    <w:lsdException w:name="Medium Shading 1" w:uiPriority="63"/>
    <w:lsdException w:name="List Continue" w:semiHidden="1" w:unhideWhenUsed="1"/>
    <w:lsdException w:name="heading 2" w:uiPriority="9" w:semiHidden="1" w:unhideWhenUsed="1" w:qFormat="1"/>
    <w:lsdException w:name="Table Simple 2" w:semiHidden="1" w:unhideWhenUsed="1"/>
    <w:lsdException w:name="Table Columns 5" w:semiHidden="1" w:unhideWhenUsed="1"/>
    <w:lsdException w:name="List Table 6 Colorful Accent 6" w:uiPriority="51"/>
    <w:lsdException w:name="Salutation" w:semiHidden="1" w:unhideWhenUsed="1"/>
    <w:lsdException w:name="Dark List Accent 3" w:uiPriority="70"/>
    <w:lsdException w:name="Grid Table 5 Dark" w:uiPriority="50"/>
    <w:lsdException w:name="Table Grid 7" w:semiHidden="1" w:unhideWhenUsed="1"/>
    <w:lsdException w:name="Title" w:uiPriority="10" w:semiHidden="1" w:unhideWhenUsed="1" w:qFormat="1"/>
    <w:lsdException w:name="heading 9" w:uiPriority="9" w:semiHidden="1" w:unhideWhenUsed="1" w:qFormat="1"/>
    <w:lsdException w:name="HTML Cite" w:semiHidden="1" w:unhideWhenUsed="1"/>
    <w:lsdException w:name="Grid Table 3 Accent 1" w:uiPriority="48"/>
    <w:lsdException w:name="Medium List 2 Accent 1" w:uiPriority="66"/>
    <w:lsdException w:name="Grid Table 4 Accent 6" w:uiPriority="49"/>
    <w:lsdException w:name="Strong" w:uiPriority="22" w:semiHidden="1" w:unhideWhenUsed="1" w:qFormat="1"/>
    <w:lsdException w:name="List Table 7 Colorful" w:uiPriority="52"/>
    <w:lsdException w:name="Hyperlink" w:semiHidden="1" w:unhideWhenUsed="1"/>
    <w:lsdException w:name="toa heading" w:semiHidden="1" w:unhideWhenUsed="1"/>
    <w:lsdException w:name="Table Columns 4" w:semiHidden="1" w:unhideWhenUsed="1"/>
    <w:lsdException w:name="List Table 1 Light Accent 4" w:uiPriority="46"/>
    <w:lsdException w:name="Default Paragraph Font" w:uiPriority="1" w:semiHidden="1" w:unhideWhenUsed="1"/>
    <w:lsdException w:name="Table List 2" w:semiHidden="1" w:unhideWhenUsed="1"/>
    <w:lsdException w:name="heading 3" w:uiPriority="9" w:semiHidden="1" w:unhideWhenUsed="1" w:qFormat="1"/>
    <w:lsdException w:name="Light List Accent 4" w:uiPriority="61"/>
    <w:lsdException w:name="toc 9" w:uiPriority="39" w:semiHidden="1" w:unhideWhenUsed="1"/>
    <w:lsdException w:name="Table List 8" w:semiHidden="1" w:unhideWhenUsed="1"/>
    <w:lsdException w:name="Table Web 2" w:semiHidden="1" w:unhideWhenUsed="1"/>
    <w:lsdException w:name="List Table 2 Accent 2" w:uiPriority="47"/>
    <w:lsdException w:name="Grid Table 7 Colorful Accent 2" w:uiPriority="52"/>
    <w:lsdException w:name="Table Colorful 2" w:semiHidden="1" w:unhideWhenUsed="1"/>
    <w:lsdException w:name="index 9" w:semiHidden="1" w:unhideWhenUsed="1"/>
    <w:lsdException w:name="Table Grid 1" w:semiHidden="1" w:unhideWhenUsed="1"/>
    <w:lsdException w:name="Table Simple 3" w:semiHidden="1" w:unhideWhenUsed="1"/>
    <w:lsdException w:name="Grid Table 1 Light Accent 5" w:uiPriority="46"/>
    <w:lsdException w:name="List Table 6 Colorful Accent 4" w:uiPriority="51"/>
    <w:lsdException w:name="Body Text 3" w:semiHidden="1" w:unhideWhenUsed="1"/>
    <w:lsdException w:name="Date" w:semiHidden="1" w:unhideWhenUsed="1"/>
    <w:lsdException w:name="Grid Table 5 Dark Accent 3" w:uiPriority="50"/>
    <w:lsdException w:name="List Table 4 Accent 6" w:uiPriority="49"/>
    <w:lsdException w:name="List Number 4" w:semiHidden="1" w:unhideWhenUsed="1"/>
    <w:lsdException w:name="Dark List" w:uiPriority="70"/>
    <w:lsdException w:name="List Number 2" w:semiHidden="1" w:unhideWhenUsed="1"/>
    <w:lsdException w:name="List Table 2 Accent 3" w:uiPriority="47"/>
    <w:lsdException w:name="List Table 1 Light Accent 1" w:uiPriority="46"/>
    <w:lsdException w:name="Grid Table 5 Dark Accent 2" w:uiPriority="50"/>
    <w:lsdException w:name="List Table 6 Colorful Accent 5" w:uiPriority="51"/>
    <w:lsdException w:name="Table Grid" w:uiPriority="39"/>
    <w:lsdException w:name="Intense Emphasis" w:uiPriority="21" w:semiHidden="1" w:unhideWhenUsed="1" w:qFormat="1"/>
    <w:lsdException w:name="FollowedHyperlink" w:semiHidden="1" w:unhideWhenUsed="1"/>
    <w:lsdException w:name="Body Text Indent 3" w:semiHidden="1" w:unhideWhenUsed="1"/>
    <w:lsdException w:name="Medium Shading 2" w:uiPriority="64"/>
    <w:lsdException w:name="Light List Accent 3" w:uiPriority="61"/>
    <w:lsdException w:name="Intense Reference" w:uiPriority="32" w:semiHidden="1" w:unhideWhenUsed="1" w:qFormat="1"/>
    <w:lsdException w:name="heading 1" w:uiPriority="9" w:qFormat="1"/>
    <w:lsdException w:name="Medium Grid 2 Accent 3" w:uiPriority="68"/>
    <w:lsdException w:name="Emphasis" w:uiPriority="20" w:semiHidden="1" w:unhideWhenUsed="1" w:qFormat="1"/>
    <w:lsdException w:name="Colorful Grid Accent 5" w:uiPriority="73"/>
    <w:lsdException w:name="List Table 6 Colorful Accent 2" w:uiPriority="51"/>
    <w:lsdException w:name="Table Grid 8" w:semiHidden="1" w:unhideWhenUsed="1"/>
    <w:lsdException w:name="Table Grid 2" w:semiHidden="1" w:unhideWhenUsed="1"/>
    <w:lsdException w:name="header" w:semiHidden="1" w:unhideWhenUsed="1" w:qFormat="1"/>
    <w:lsdException w:name="footer" w:semiHidden="1" w:unhideWhenUsed="1" w:qFormat="1"/>
    <w:lsdException w:name="Table Web 1" w:semiHidden="1" w:unhideWhenUsed="1"/>
    <w:lsdException w:name="Medium Grid 1 Accent 4" w:uiPriority="67"/>
    <w:lsdException w:name="endnote reference" w:semiHidden="1" w:unhideWhenUsed="1"/>
    <w:lsdException w:name="List Number 3" w:semiHidden="1" w:unhideWhenUsed="1"/>
    <w:lsdException w:name="List Table 5 Dark" w:uiPriority="50"/>
    <w:lsdException w:name="toc 5" w:uiPriority="39" w:semiHidden="1" w:unhideWhenUsed="1"/>
    <w:lsdException w:name="Message Header" w:semiHidden="1" w:unhideWhenUsed="1"/>
    <w:lsdException w:name="Medium Shading 2 Accent 6" w:uiPriority="64"/>
    <w:lsdException w:name="List Table 5 Dark Accent 2" w:uiPriority="50"/>
    <w:lsdException w:name="macro" w:semiHidden="1" w:unhideWhenUsed="1"/>
    <w:lsdException w:name="List Table 7 Colorful Accent 3" w:uiPriority="52"/>
    <w:lsdException w:name="Medium Shading 1 Accent 6" w:uiPriority="63"/>
    <w:lsdException w:name="List Number" w:qFormat="1"/>
    <w:lsdException w:name="Grid Table 1 Light Accent 6" w:uiPriority="46"/>
    <w:lsdException w:name="List 2" w:semiHidden="1" w:unhideWhenUsed="1"/>
    <w:lsdException w:name="Light Shading Accent 1" w:uiPriority="60"/>
    <w:lsdException w:name="Body Text First Indent" w:semiHidden="1" w:unhideWhenUsed="1"/>
    <w:lsdException w:name="List Table 2 Accent 5" w:uiPriority="47"/>
  </w:latentStyles>
  <w:style w:type="character" w:styleId="327e66">
    <w:name w:val="Intense Reference"/>
    <w:basedOn w:val="8094ca"/>
    <w:uiPriority w:val="32"/>
    <w:semiHidden w:val="1"/>
    <w:unhideWhenUsed w:val="1"/>
    <w:qFormat w:val="1"/>
    <w:rPr>
      <w:b w:val="1"/>
      <w:bCs w:val="1"/>
      <w:caps w:val="1"/>
      <w:smallCaps w:val="0"/>
      <w:color w:val="2A2A2A" w:themeColor="text2"/>
      <w:spacing w:val="0"/>
    </w:rPr>
  </w:style>
  <w:style w:type="paragraph" w:styleId="627880">
    <w:name w:val="List Paragraph"/>
    <w:basedOn w:val="0a00d3"/>
    <w:uiPriority w:val="34"/>
    <w:unhideWhenUsed w:val="1"/>
    <w:qFormat w:val="1"/>
    <w:rsid w:val="00B85A4B"/>
    <w:pPr>
      <w:ind w:firstLine="420" w:firstLineChars="200"/>
    </w:pPr>
  </w:style>
  <w:style w:type="paragraph" w:styleId="3c044b">
    <w:name w:val="Document Map"/>
    <w:basedOn w:val="0a00d3"/>
    <w:link w:val="c2e3f9"/>
    <w:uiPriority w:val="99"/>
    <w:semiHidden w:val="1"/>
    <w:unhideWhenUsed w:val="1"/>
    <w:rsid w:val="00CC3A7F"/>
    <w:pPr>
      <w:spacing w:after="0" w:line="240" w:lineRule="auto"/>
    </w:pPr>
    <w:rPr>
      <w:rFonts w:ascii="Segoe UI" w:hAnsi="Segoe UI" w:cs="Segoe UI"/>
      <w:szCs w:val="16"/>
    </w:rPr>
  </w:style>
  <w:style w:type="paragraph" w:styleId="8618fa">
    <w:name w:val="Balloon Text"/>
    <w:basedOn w:val="0a00d3"/>
    <w:link w:val="d36504"/>
    <w:uiPriority w:val="99"/>
    <w:semiHidden w:val="1"/>
    <w:unhideWhenUsed w:val="1"/>
    <w:rsid w:val="00CC3A7F"/>
    <w:pPr>
      <w:spacing w:after="0" w:line="240" w:lineRule="auto"/>
    </w:pPr>
    <w:rPr>
      <w:rFonts w:ascii="Segoe UI" w:hAnsi="Segoe UI" w:cs="Segoe UI"/>
      <w:szCs w:val="18"/>
    </w:rPr>
  </w:style>
  <w:style w:type="paragraph" w:styleId="f1abc3">
    <w:name w:val="heading 4"/>
    <w:basedOn w:val="0a00d3"/>
    <w:next w:val="0a00d3"/>
    <w:link w:val="e9ede8"/>
    <w:uiPriority w:val="1"/>
    <w:semiHidden w:val="1"/>
    <w:unhideWhenUsed w:val="1"/>
    <w:qFormat w:val="1"/>
    <w:rsid w:val="00CC3A7F"/>
    <w:pPr>
      <w:keepNext w:val="1"/>
      <w:keepLines w:val="1"/>
      <w:spacing w:after="320" w:line="240" w:lineRule="auto"/>
      <w:contextualSpacing w:val="1"/>
      <w:outlineLvl w:val="3"/>
    </w:pPr>
    <w:rPr>
      <w:rFonts w:asciiTheme="majorHAnsi" w:hAnsiTheme="majorHAnsi" w:eastAsiaTheme="majorEastAsia" w:cstheme="majorBidi"/>
      <w:b w:val="1"/>
      <w:i w:val="1"/>
      <w:iCs w:val="1"/>
      <w:sz w:val="36"/>
    </w:rPr>
  </w:style>
  <w:style w:type="paragraph" w:styleId="41f3b9">
    <w:name w:val="footnote text"/>
    <w:basedOn w:val="0a00d3"/>
    <w:link w:val="6f2bb7"/>
    <w:uiPriority w:val="99"/>
    <w:semiHidden w:val="1"/>
    <w:unhideWhenUsed w:val="1"/>
    <w:rsid w:val="00CC3A7F"/>
    <w:pPr>
      <w:spacing w:after="0" w:line="240" w:lineRule="auto"/>
    </w:pPr>
    <w:rPr>
      <w:szCs w:val="20"/>
    </w:rPr>
  </w:style>
  <w:style w:type="table" w:styleId="40befe">
    <w:name w:val="Table Grid"/>
    <w:basedOn w:val="411e28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71e0">
    <w:name w:val="Block Text"/>
    <w:basedOn w:val="0a00d3"/>
    <w:uiPriority w:val="2"/>
    <w:unhideWhenUsed w:val="1"/>
    <w:pPr>
      <w:spacing w:before="360" w:after="360"/>
    </w:pPr>
    <w:rPr>
      <w:iCs w:val="1"/>
      <w:color w:val="3E3E3E" w:themeColor="text2" w:themeTint="E6"/>
      <w:sz w:val="28"/>
    </w:rPr>
  </w:style>
  <w:style w:type="paragraph" w:styleId="b98ffa">
    <w:name w:val="header"/>
    <w:basedOn w:val="0a00d3"/>
    <w:link w:val="e4f634"/>
    <w:uiPriority w:val="99"/>
    <w:unhideWhenUsed w:val="1"/>
    <w:qFormat w:val="1"/>
    <w:pPr>
      <w:spacing w:after="0" w:line="240" w:lineRule="auto"/>
    </w:pPr>
  </w:style>
  <w:style w:type="character" w:styleId="3e81c4" w:customStyle="1">
    <w:name w:val="标题 3 字符"/>
    <w:basedOn w:val="8094ca"/>
    <w:link w:val="a4aaa5"/>
    <w:uiPriority w:val="1"/>
    <w:semiHidden w:val="1"/>
    <w:rsid w:val="0029097C"/>
    <w:rPr>
      <w:rFonts w:asciiTheme="majorHAnsi" w:hAnsiTheme="majorHAnsi" w:eastAsiaTheme="majorEastAsia" w:cstheme="majorBidi"/>
      <w:b w:val="1"/>
      <w:sz w:val="36"/>
      <w:szCs w:val="24"/>
    </w:rPr>
  </w:style>
  <w:style w:type="paragraph" w:styleId="78f09f">
    <w:name w:val="annotation text"/>
    <w:basedOn w:val="0a00d3"/>
    <w:link w:val="d3c379"/>
    <w:uiPriority w:val="99"/>
    <w:semiHidden w:val="1"/>
    <w:unhideWhenUsed w:val="1"/>
    <w:rsid w:val="00CC3A7F"/>
    <w:pPr>
      <w:spacing w:line="240" w:lineRule="auto"/>
    </w:pPr>
    <w:rPr>
      <w:szCs w:val="20"/>
    </w:rPr>
  </w:style>
  <w:style w:type="character" w:styleId="c2e3f9" w:customStyle="1">
    <w:name w:val="文档结构图 字符"/>
    <w:basedOn w:val="8094ca"/>
    <w:link w:val="3c044b"/>
    <w:uiPriority w:val="99"/>
    <w:semiHidden w:val="1"/>
    <w:rsid w:val="00CC3A7F"/>
    <w:rPr>
      <w:rFonts w:ascii="Segoe UI" w:hAnsi="Segoe UI" w:cs="Segoe UI"/>
      <w:szCs w:val="16"/>
    </w:rPr>
  </w:style>
  <w:style w:type="character" w:styleId="93d790" w:customStyle="1">
    <w:name w:val="标题 1 字符"/>
    <w:basedOn w:val="8094ca"/>
    <w:link w:val="089534"/>
    <w:uiPriority w:val="1"/>
    <w:rsid w:val="0029097C"/>
    <w:rPr>
      <w:rFonts w:asciiTheme="majorHAnsi" w:hAnsiTheme="majorHAnsi" w:eastAsiaTheme="majorEastAsia" w:cstheme="majorBidi"/>
      <w:b w:val="1"/>
      <w:sz w:val="110"/>
      <w:szCs w:val="32"/>
    </w:rPr>
  </w:style>
  <w:style w:type="paragraph" w:styleId="2f8777">
    <w:name w:val="Body Text 3"/>
    <w:basedOn w:val="0a00d3"/>
    <w:link w:val="95e20a"/>
    <w:uiPriority w:val="99"/>
    <w:semiHidden w:val="1"/>
    <w:unhideWhenUsed w:val="1"/>
    <w:rsid w:val="00CC3A7F"/>
    <w:pPr>
      <w:spacing w:after="120"/>
    </w:pPr>
    <w:rPr>
      <w:szCs w:val="16"/>
    </w:rPr>
  </w:style>
  <w:style w:type="paragraph" w:styleId="ec1540">
    <w:name w:val="List Bullet"/>
    <w:basedOn w:val=""/>
    <w:uiPriority w:val="5"/>
    <w:qFormat w:val="1"/>
    <w:pPr>
      <w:numPr>
        <w:numId w:val="2"/>
      </w:numPr>
      <w:tabs/>
      <w:spacing w:after="120"/>
    </w:pPr>
  </w:style>
  <w:style w:type="character" w:styleId="e3a98a">
    <w:name w:val="Subtle Reference"/>
    <w:basedOn w:val="8094ca"/>
    <w:uiPriority w:val="31"/>
    <w:semiHidden w:val="1"/>
    <w:unhideWhenUsed w:val="1"/>
    <w:qFormat w:val="1"/>
    <w:rPr>
      <w:caps w:val="1"/>
      <w:smallCaps w:val="0"/>
      <w:color w:val="2A2A2A" w:themeColor="text2"/>
    </w:rPr>
  </w:style>
  <w:style w:type="paragraph" w:styleId="63f115">
    <w:name w:val="Body Text Indent 3"/>
    <w:basedOn w:val="0a00d3"/>
    <w:link w:val="4c7e99"/>
    <w:uiPriority w:val="99"/>
    <w:semiHidden w:val="1"/>
    <w:unhideWhenUsed w:val="1"/>
    <w:rsid w:val="00CC3A7F"/>
    <w:pPr>
      <w:spacing w:after="120"/>
      <w:ind w:left="360"/>
    </w:pPr>
    <w:rPr>
      <w:szCs w:val="16"/>
    </w:rPr>
  </w:style>
  <w:style w:type="character" w:styleId="788043" w:customStyle="1">
    <w:name w:val="标题 2 字符"/>
    <w:basedOn w:val="8094ca"/>
    <w:link w:val="b74117"/>
    <w:uiPriority w:val="1"/>
    <w:rsid w:val="0029097C"/>
    <w:rPr>
      <w:rFonts w:asciiTheme="majorHAnsi" w:hAnsiTheme="majorHAnsi" w:eastAsiaTheme="majorEastAsia" w:cstheme="majorBidi"/>
      <w:b w:val="1"/>
      <w:color w:val="7A4F13" w:themeColor="accent1" w:themeShade="80"/>
      <w:sz w:val="38"/>
      <w:szCs w:val="26"/>
    </w:rPr>
  </w:style>
  <w:style w:type="character" w:styleId="ca867f" w:customStyle="1">
    <w:name w:val="标题 5 字符"/>
    <w:basedOn w:val="8094ca"/>
    <w:link w:val="e7dc85"/>
    <w:uiPriority w:val="1"/>
    <w:semiHidden w:val="1"/>
    <w:rsid w:val="0029097C"/>
    <w:rPr>
      <w:rFonts w:asciiTheme="majorHAnsi" w:hAnsiTheme="majorHAnsi" w:eastAsiaTheme="majorEastAsia" w:cstheme="majorBidi"/>
      <w:b w:val="1"/>
      <w:color w:val="5F5F5F" w:themeColor="text2" w:themeTint="BF"/>
      <w:sz w:val="36"/>
    </w:rPr>
  </w:style>
  <w:style w:type="paragraph" w:styleId="089534">
    <w:name w:val="heading 1"/>
    <w:basedOn w:val="0a00d3"/>
    <w:next w:val="0a00d3"/>
    <w:link w:val="93d790"/>
    <w:uiPriority w:val="1"/>
    <w:qFormat w:val="1"/>
    <w:rsid w:val="00D54F24"/>
    <w:pPr>
      <w:pageBreakBefore w:val="1"/>
      <w:spacing w:after="3600" w:line="240" w:lineRule="auto"/>
      <w:contextualSpacing w:val="1"/>
      <w:outlineLvl w:val="0"/>
    </w:pPr>
    <w:rPr>
      <w:rFonts w:asciiTheme="majorHAnsi" w:hAnsiTheme="majorHAnsi" w:eastAsiaTheme="majorEastAsia" w:cstheme="majorBidi"/>
      <w:b w:val="1"/>
      <w:sz w:val="110"/>
      <w:szCs w:val="32"/>
    </w:rPr>
  </w:style>
  <w:style w:type="character" w:styleId="e9ede8" w:customStyle="1">
    <w:name w:val="标题 4 字符"/>
    <w:basedOn w:val="8094ca"/>
    <w:link w:val="f1abc3"/>
    <w:uiPriority w:val="1"/>
    <w:semiHidden w:val="1"/>
    <w:rsid w:val="0029097C"/>
    <w:rPr>
      <w:rFonts w:asciiTheme="majorHAnsi" w:hAnsiTheme="majorHAnsi" w:eastAsiaTheme="majorEastAsia" w:cstheme="majorBidi"/>
      <w:b w:val="1"/>
      <w:i w:val="1"/>
      <w:iCs w:val="1"/>
      <w:sz w:val="36"/>
    </w:rPr>
  </w:style>
  <w:style w:type="character" w:styleId="4489cf" w:customStyle="1">
    <w:name w:val="标题 字符"/>
    <w:basedOn w:val="8094ca"/>
    <w:link w:val="ddab1b"/>
    <w:uiPriority w:val="10"/>
    <w:semiHidden w:val="1"/>
    <w:rPr>
      <w:rFonts w:asciiTheme="majorHAnsi" w:hAnsiTheme="majorHAnsi" w:eastAsiaTheme="majorEastAsia" w:cstheme="majorBidi"/>
      <w:b w:val="1"/>
      <w:kern w:val="28"/>
      <w:sz w:val="140"/>
      <w:szCs w:val="56"/>
    </w:rPr>
  </w:style>
  <w:style w:type="character" w:styleId="38ddb6">
    <w:name w:val="HTML Typewriter"/>
    <w:basedOn w:val="8094ca"/>
    <w:uiPriority w:val="99"/>
    <w:semiHidden w:val="1"/>
    <w:unhideWhenUsed w:val="1"/>
    <w:rsid w:val="00CC3A7F"/>
    <w:rPr>
      <w:rFonts w:ascii="Consolas" w:hAnsi="Consolas"/>
      <w:sz w:val="22"/>
      <w:szCs w:val="20"/>
    </w:rPr>
  </w:style>
  <w:style w:type="character" w:styleId="e4f634" w:customStyle="1">
    <w:name w:val="页眉 字符"/>
    <w:basedOn w:val="8094ca"/>
    <w:link w:val="b98ffa"/>
    <w:uiPriority w:val="99"/>
  </w:style>
  <w:style w:type="paragraph" w:styleId="031cad">
    <w:name w:val="Quote"/>
    <w:basedOn w:val="0a00d3"/>
    <w:next w:val="0a00d3"/>
    <w:link w:val="542845"/>
    <w:uiPriority w:val="3"/>
    <w:unhideWhenUsed w:val="1"/>
    <w:qFormat w:val="1"/>
    <w:pPr>
      <w:spacing w:before="360" w:after="360"/>
      <w:contextualSpacing w:val="1"/>
    </w:pPr>
    <w:rPr>
      <w:iCs w:val="1"/>
      <w:sz w:val="60"/>
    </w:rPr>
  </w:style>
  <w:style w:type="paragraph" w:styleId="0d87bf">
    <w:name w:val="heading 9"/>
    <w:basedOn w:val="0a00d3"/>
    <w:next w:val="0a00d3"/>
    <w:link w:val="38f587"/>
    <w:uiPriority w:val="1"/>
    <w:semiHidden w:val="1"/>
    <w:unhideWhenUsed w:val="1"/>
    <w:qFormat w:val="1"/>
    <w:rsid w:val="00CC3A7F"/>
    <w:pPr>
      <w:keepNext w:val="1"/>
      <w:keepLines w:val="1"/>
      <w:spacing w:after="240" w:line="240" w:lineRule="auto"/>
      <w:contextualSpacing w:val="1"/>
      <w:outlineLvl w:val="8"/>
    </w:pPr>
    <w:rPr>
      <w:rFonts w:asciiTheme="majorHAnsi" w:hAnsiTheme="majorHAnsi" w:eastAsiaTheme="majorEastAsia" w:cstheme="majorBidi"/>
      <w:b w:val="1"/>
      <w:iCs w:val="1"/>
      <w:color w:val="5F5F5F" w:themeColor="text2" w:themeTint="BF"/>
      <w:sz w:val="32"/>
      <w:szCs w:val="21"/>
    </w:rPr>
  </w:style>
  <w:style w:type="character" w:styleId="d36504" w:customStyle="1">
    <w:name w:val="批注框文本 字符"/>
    <w:basedOn w:val="8094ca"/>
    <w:link w:val="8618fa"/>
    <w:uiPriority w:val="99"/>
    <w:semiHidden w:val="1"/>
    <w:rsid w:val="00CC3A7F"/>
    <w:rPr>
      <w:rFonts w:ascii="Segoe UI" w:hAnsi="Segoe UI" w:cs="Segoe UI"/>
      <w:szCs w:val="18"/>
    </w:rPr>
  </w:style>
  <w:style w:type="character" w:styleId="093ed7">
    <w:name w:val="annotation reference"/>
    <w:basedOn w:val="8094ca"/>
    <w:uiPriority w:val="99"/>
    <w:semiHidden w:val="1"/>
    <w:unhideWhenUsed w:val="1"/>
    <w:rsid w:val="00CC3A7F"/>
    <w:rPr>
      <w:sz w:val="22"/>
      <w:szCs w:val="16"/>
    </w:rPr>
  </w:style>
  <w:style w:type="character" w:styleId="befe12" w:customStyle="1">
    <w:name w:val="尾注文本 字符"/>
    <w:basedOn w:val="8094ca"/>
    <w:link w:val="a53a36"/>
    <w:uiPriority w:val="99"/>
    <w:semiHidden w:val="1"/>
    <w:rsid w:val="00CC3A7F"/>
    <w:rPr>
      <w:szCs w:val="20"/>
    </w:rPr>
  </w:style>
  <w:style w:type="paragraph" w:styleId="3c9c5b">
    <w:name w:val="envelope return"/>
    <w:basedOn w:val="0a00d3"/>
    <w:uiPriority w:val="99"/>
    <w:semiHidden w:val="1"/>
    <w:unhideWhenUsed w:val="1"/>
    <w:rsid w:val="00CC3A7F"/>
    <w:pPr>
      <w:spacing w:after="0" w:line="240" w:lineRule="auto"/>
    </w:pPr>
    <w:rPr>
      <w:rFonts w:asciiTheme="majorHAnsi" w:hAnsiTheme="majorHAnsi" w:eastAsiaTheme="majorEastAsia" w:cstheme="majorBidi"/>
      <w:szCs w:val="20"/>
    </w:rPr>
  </w:style>
  <w:style w:type="character" w:styleId="6f2bb7" w:customStyle="1">
    <w:name w:val="脚注文本 字符"/>
    <w:basedOn w:val="8094ca"/>
    <w:link w:val="41f3b9"/>
    <w:uiPriority w:val="99"/>
    <w:semiHidden w:val="1"/>
    <w:rsid w:val="00CC3A7F"/>
    <w:rPr>
      <w:szCs w:val="20"/>
    </w:rPr>
  </w:style>
  <w:style w:type="paragraph" w:styleId="415de7">
    <w:name w:val="HTML Preformatted"/>
    <w:basedOn w:val="0a00d3"/>
    <w:link w:val="a086e6"/>
    <w:uiPriority w:val="99"/>
    <w:semiHidden w:val="1"/>
    <w:unhideWhenUsed w:val="1"/>
    <w:rsid w:val="00CC3A7F"/>
    <w:pPr>
      <w:spacing w:after="0" w:line="240" w:lineRule="auto"/>
    </w:pPr>
    <w:rPr>
      <w:rFonts w:ascii="Consolas" w:hAnsi="Consolas"/>
      <w:szCs w:val="20"/>
    </w:rPr>
  </w:style>
  <w:style w:type="table" w:styleId="411e28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42bdf7" w:customStyle="1">
    <w:name w:val="标题 8 字符"/>
    <w:basedOn w:val="8094ca"/>
    <w:link w:val="18fb3c"/>
    <w:uiPriority w:val="1"/>
    <w:semiHidden w:val="1"/>
    <w:rsid w:val="0029097C"/>
    <w:rPr>
      <w:rFonts w:asciiTheme="majorHAnsi" w:hAnsiTheme="majorHAnsi" w:eastAsiaTheme="majorEastAsia" w:cstheme="majorBidi"/>
      <w:b w:val="1"/>
      <w:i w:val="1"/>
      <w:sz w:val="32"/>
      <w:szCs w:val="21"/>
    </w:rPr>
  </w:style>
  <w:style w:type="paragraph" w:styleId="782740">
    <w:name w:val="macro"/>
    <w:link w:val="b9f6ee"/>
    <w:uiPriority w:val="99"/>
    <w:semiHidden w:val="1"/>
    <w:unhideWhenUsed w:val="1"/>
    <w:rsid w:val="00CC3A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paragraph" w:styleId="912bfc">
    <w:name w:val="List Number"/>
    <w:basedOn w:val="0a00d3"/>
    <w:uiPriority w:val="6"/>
    <w:qFormat w:val="1"/>
    <w:pPr>
      <w:numPr>
        <w:numId w:val="3"/>
      </w:numPr>
      <w:spacing w:after="120"/>
    </w:pPr>
  </w:style>
  <w:style w:type="character" w:styleId="c2da3c" w:customStyle="1">
    <w:name w:val="批注主题 字符"/>
    <w:basedOn w:val="d3c379"/>
    <w:link w:val="4d4bf7"/>
    <w:uiPriority w:val="99"/>
    <w:semiHidden w:val="1"/>
    <w:rsid w:val="00CC3A7F"/>
    <w:rPr>
      <w:b w:val="1"/>
      <w:bCs w:val="1"/>
      <w:szCs w:val="20"/>
    </w:rPr>
  </w:style>
  <w:style w:type="character" w:styleId="38f587" w:customStyle="1">
    <w:name w:val="标题 9 字符"/>
    <w:basedOn w:val="8094ca"/>
    <w:link w:val="0d87bf"/>
    <w:uiPriority w:val="1"/>
    <w:semiHidden w:val="1"/>
    <w:rsid w:val="0029097C"/>
    <w:rPr>
      <w:rFonts w:asciiTheme="majorHAnsi" w:hAnsiTheme="majorHAnsi" w:eastAsiaTheme="majorEastAsia" w:cstheme="majorBidi"/>
      <w:b w:val="1"/>
      <w:iCs w:val="1"/>
      <w:color w:val="5F5F5F" w:themeColor="text2" w:themeTint="BF"/>
      <w:sz w:val="32"/>
      <w:szCs w:val="21"/>
    </w:rPr>
  </w:style>
  <w:style w:type="character" w:styleId="69ce59">
    <w:name w:val="FollowedHyperlink"/>
    <w:basedOn w:val="8094ca"/>
    <w:uiPriority w:val="99"/>
    <w:semiHidden w:val="1"/>
    <w:unhideWhenUsed w:val="1"/>
    <w:rsid w:val="00C056CB"/>
    <w:rPr>
      <w:color w:val="487B97" w:themeColor="followedHyperlink"/>
      <w:u w:val="single"/>
    </w:rPr>
  </w:style>
  <w:style w:type="character" w:styleId="9a832f">
    <w:name w:val="Unresolved Mention"/>
    <w:basedOn w:val="8094ca"/>
    <w:uiPriority w:val="99"/>
    <w:semiHidden w:val="1"/>
    <w:unhideWhenUsed w:val="1"/>
    <w:rsid w:val="00B85A4B"/>
    <w:rPr>
      <w:color w:val="605E5C"/>
      <w:shd w:val="clear" w:color="auto" w:fill="E1DFDD"/>
    </w:rPr>
  </w:style>
  <w:style w:type="paragraph" w:styleId="2e8ca1">
    <w:name w:val="Subtitle"/>
    <w:basedOn w:val="0a00d3"/>
    <w:next w:val="0a00d3"/>
    <w:link w:val="d48da6"/>
    <w:uiPriority w:val="11"/>
    <w:semiHidden w:val="1"/>
    <w:unhideWhenUsed w:val="1"/>
    <w:qFormat w:val="1"/>
    <w:rsid w:val="00D54F24"/>
    <w:pPr>
      <w:numPr>
        <w:ilvl w:val="1"/>
      </w:numPr>
      <w:spacing w:after="1200" w:line="240" w:lineRule="auto"/>
      <w:contextualSpacing w:val="1"/>
    </w:pPr>
    <w:rPr>
      <w:b w:val="1"/>
      <w:color w:val="7A4F13" w:themeColor="accent1" w:themeShade="80"/>
      <w:sz w:val="56"/>
    </w:rPr>
  </w:style>
  <w:style w:type="paragraph" w:styleId="86d55e">
    <w:name w:val="heading 7"/>
    <w:basedOn w:val="0a00d3"/>
    <w:next w:val="0a00d3"/>
    <w:link w:val="2a826f"/>
    <w:uiPriority w:val="1"/>
    <w:semiHidden w:val="1"/>
    <w:unhideWhenUsed w:val="1"/>
    <w:qFormat w:val="1"/>
    <w:rsid w:val="00CC3A7F"/>
    <w:pPr>
      <w:keepNext w:val="1"/>
      <w:keepLines w:val="1"/>
      <w:spacing w:after="240" w:line="240" w:lineRule="auto"/>
      <w:contextualSpacing w:val="1"/>
      <w:outlineLvl w:val="6"/>
    </w:pPr>
    <w:rPr>
      <w:rFonts w:asciiTheme="majorHAnsi" w:hAnsiTheme="majorHAnsi" w:eastAsiaTheme="majorEastAsia" w:cstheme="majorBidi"/>
      <w:b w:val="1"/>
      <w:iCs w:val="1"/>
      <w:sz w:val="32"/>
    </w:rPr>
  </w:style>
  <w:style w:type="numbering" w:styleId="9fd621" w:default="1">
    <w:name w:val="No List"/>
    <w:uiPriority w:val="99"/>
    <w:semiHidden w:val="1"/>
    <w:unhideWhenUsed w:val="1"/>
  </w:style>
  <w:style w:type="paragraph" w:styleId="9d3013">
    <w:name w:val="caption"/>
    <w:basedOn w:val="0a00d3"/>
    <w:next w:val="0a00d3"/>
    <w:uiPriority w:val="35"/>
    <w:semiHidden w:val="1"/>
    <w:unhideWhenUsed w:val="1"/>
    <w:qFormat w:val="1"/>
    <w:pPr>
      <w:contextualSpacing w:val="1"/>
    </w:pPr>
    <w:rPr>
      <w:i w:val="1"/>
      <w:iCs w:val="1"/>
      <w:szCs w:val="18"/>
    </w:rPr>
  </w:style>
  <w:style w:type="paragraph" w:styleId="0a00d3" w:default="1">
    <w:name w:val="Normal"/>
    <w:qFormat w:val="1"/>
    <w:rsid w:val="00666F9E"/>
  </w:style>
  <w:style w:type="paragraph" w:styleId="61fb76">
    <w:name w:val="TOC Heading"/>
    <w:basedOn w:val="089534"/>
    <w:next w:val="0a00d3"/>
    <w:uiPriority w:val="39"/>
    <w:semiHidden w:val="1"/>
    <w:unhideWhenUsed w:val="1"/>
    <w:qFormat w:val="1"/>
    <w:pPr>
      <w:keepNext w:val="1"/>
      <w:keepLines w:val="1"/>
      <w:pageBreakBefore w:val="0"/>
      <w:outlineLvl w:val="9"/>
    </w:pPr>
  </w:style>
  <w:style w:type="paragraph" w:styleId="e92e61">
    <w:name w:val="Normal (Web)"/>
    <w:basedOn w:val="0a00d3"/>
    <w:uiPriority w:val="99"/>
    <w:semiHidden w:val="1"/>
    <w:unhideWhenUsed w:val="1"/>
    <w:rsid w:val="002E6F76"/>
    <w:pPr>
      <w:spacing w:before="100" w:beforeAutospacing="1" w:after="100" w:afterAutospacing="1" w:line="240" w:lineRule="auto"/>
    </w:pPr>
    <w:rPr>
      <w:rFonts w:ascii="宋体" w:hAnsi="宋体" w:eastAsia="宋体" w:cs="宋体"/>
      <w:color w:val="auto"/>
      <w:sz w:val="24"/>
      <w:szCs w:val="24"/>
    </w:rPr>
  </w:style>
  <w:style w:type="character" w:styleId="a086e6" w:customStyle="1">
    <w:name w:val="HTML 预设格式 字符"/>
    <w:basedOn w:val="8094ca"/>
    <w:link w:val="415de7"/>
    <w:uiPriority w:val="99"/>
    <w:semiHidden w:val="1"/>
    <w:rsid w:val="00CC3A7F"/>
    <w:rPr>
      <w:rFonts w:ascii="Consolas" w:hAnsi="Consolas"/>
      <w:szCs w:val="20"/>
    </w:rPr>
  </w:style>
  <w:style w:type="character" w:styleId="4c7e99" w:customStyle="1">
    <w:name w:val="正文文本缩进 3 字符"/>
    <w:basedOn w:val="8094ca"/>
    <w:link w:val="63f115"/>
    <w:uiPriority w:val="99"/>
    <w:semiHidden w:val="1"/>
    <w:rsid w:val="00CC3A7F"/>
    <w:rPr>
      <w:szCs w:val="16"/>
    </w:rPr>
  </w:style>
  <w:style w:type="character" w:styleId="787dee">
    <w:name w:val="Emphasis"/>
    <w:basedOn w:val="8094ca"/>
    <w:uiPriority w:val="20"/>
    <w:unhideWhenUsed w:val="1"/>
    <w:qFormat w:val="1"/>
    <w:rsid w:val="00D54F24"/>
    <w:rPr>
      <w:i w:val="0"/>
      <w:iCs w:val="1"/>
      <w:color w:val="7A4F13" w:themeColor="accent1" w:themeShade="80"/>
    </w:rPr>
  </w:style>
  <w:style w:type="paragraph" w:styleId="a4aaa5">
    <w:name w:val="heading 3"/>
    <w:basedOn w:val="0a00d3"/>
    <w:next w:val="0a00d3"/>
    <w:link w:val="3e81c4"/>
    <w:uiPriority w:val="1"/>
    <w:semiHidden w:val="1"/>
    <w:unhideWhenUsed w:val="1"/>
    <w:qFormat w:val="1"/>
    <w:rsid w:val="00D54F24"/>
    <w:pPr>
      <w:keepNext w:val="1"/>
      <w:keepLines w:val="1"/>
      <w:spacing w:after="320" w:line="240" w:lineRule="auto"/>
      <w:contextualSpacing w:val="1"/>
      <w:outlineLvl w:val="2"/>
    </w:pPr>
    <w:rPr>
      <w:rFonts w:asciiTheme="majorHAnsi" w:hAnsiTheme="majorHAnsi" w:eastAsiaTheme="majorEastAsia" w:cstheme="majorBidi"/>
      <w:b w:val="1"/>
      <w:sz w:val="36"/>
      <w:szCs w:val="24"/>
    </w:rPr>
  </w:style>
  <w:style w:type="character" w:styleId="7dc54a" w:customStyle="1">
    <w:name w:val="标题 6 字符"/>
    <w:basedOn w:val="8094ca"/>
    <w:link w:val="c2df29"/>
    <w:uiPriority w:val="1"/>
    <w:semiHidden w:val="1"/>
    <w:rsid w:val="0029097C"/>
    <w:rPr>
      <w:rFonts w:asciiTheme="majorHAnsi" w:hAnsiTheme="majorHAnsi" w:eastAsiaTheme="majorEastAsia" w:cstheme="majorBidi"/>
      <w:b w:val="1"/>
      <w:color w:val="7A4F13" w:themeColor="accent1" w:themeShade="80"/>
      <w:sz w:val="36"/>
    </w:rPr>
  </w:style>
  <w:style w:type="character" w:styleId="d48da6" w:customStyle="1">
    <w:name w:val="副标题 字符"/>
    <w:basedOn w:val="8094ca"/>
    <w:link w:val="2e8ca1"/>
    <w:uiPriority w:val="11"/>
    <w:semiHidden w:val="1"/>
    <w:rsid w:val="00D54F24"/>
    <w:rPr>
      <w:rFonts w:eastAsiaTheme="minorEastAsia"/>
      <w:b w:val="1"/>
      <w:color w:val="7A4F13" w:themeColor="accent1" w:themeShade="80"/>
      <w:sz w:val="56"/>
    </w:rPr>
  </w:style>
  <w:style w:type="paragraph" w:styleId="c2df29">
    <w:name w:val="heading 6"/>
    <w:basedOn w:val="0a00d3"/>
    <w:next w:val="0a00d3"/>
    <w:link w:val="7dc54a"/>
    <w:uiPriority w:val="1"/>
    <w:semiHidden w:val="1"/>
    <w:unhideWhenUsed w:val="1"/>
    <w:qFormat w:val="1"/>
    <w:rsid w:val="00CC3A7F"/>
    <w:pPr>
      <w:keepNext w:val="1"/>
      <w:keepLines w:val="1"/>
      <w:pBdr>
        <w:top w:val="single" w:color="2A2A2A" w:themeColor="text2" w:sz="12" w:space="12"/>
      </w:pBdr>
      <w:spacing w:after="320" w:line="240" w:lineRule="auto"/>
      <w:contextualSpacing w:val="1"/>
      <w:outlineLvl w:val="5"/>
    </w:pPr>
    <w:rPr>
      <w:rFonts w:asciiTheme="majorHAnsi" w:hAnsiTheme="majorHAnsi" w:eastAsiaTheme="majorEastAsia" w:cstheme="majorBidi"/>
      <w:b w:val="1"/>
      <w:color w:val="7A4F13" w:themeColor="accent1" w:themeShade="80"/>
      <w:sz w:val="36"/>
    </w:rPr>
  </w:style>
  <w:style w:type="paragraph" w:styleId="1f676d">
    <w:name w:val="Plain Text"/>
    <w:basedOn w:val="0a00d3"/>
    <w:link w:val="0b5919"/>
    <w:uiPriority w:val="99"/>
    <w:semiHidden w:val="1"/>
    <w:unhideWhenUsed w:val="1"/>
    <w:rsid w:val="00CC3A7F"/>
    <w:pPr>
      <w:spacing w:after="0" w:line="240" w:lineRule="auto"/>
    </w:pPr>
    <w:rPr>
      <w:rFonts w:ascii="Consolas" w:hAnsi="Consolas"/>
      <w:szCs w:val="21"/>
    </w:rPr>
  </w:style>
  <w:style w:type="character" w:styleId="64e5e4">
    <w:name w:val="Intense Emphasis"/>
    <w:basedOn w:val="8094ca"/>
    <w:uiPriority w:val="21"/>
    <w:semiHidden w:val="1"/>
    <w:unhideWhenUsed w:val="1"/>
    <w:qFormat w:val="1"/>
    <w:rsid w:val="00D54F24"/>
    <w:rPr>
      <w:b w:val="1"/>
      <w:i w:val="1"/>
      <w:iCs w:val="1"/>
      <w:color w:val="7A4F13" w:themeColor="accent1" w:themeShade="80"/>
    </w:rPr>
  </w:style>
  <w:style w:type="paragraph" w:styleId="ddab1b">
    <w:name w:val="Title"/>
    <w:basedOn w:val="0a00d3"/>
    <w:next w:val="0a00d3"/>
    <w:link w:val="4489cf"/>
    <w:uiPriority w:val="10"/>
    <w:semiHidden w:val="1"/>
    <w:unhideWhenUsed w:val="1"/>
    <w:qFormat w:val="1"/>
    <w:pPr>
      <w:spacing w:after="480" w:line="240" w:lineRule="auto"/>
      <w:contextualSpacing w:val="1"/>
    </w:pPr>
    <w:rPr>
      <w:rFonts w:asciiTheme="majorHAnsi" w:hAnsiTheme="majorHAnsi" w:eastAsiaTheme="majorEastAsia" w:cstheme="majorBidi"/>
      <w:b w:val="1"/>
      <w:kern w:val="28"/>
      <w:sz w:val="140"/>
      <w:szCs w:val="56"/>
    </w:rPr>
  </w:style>
  <w:style w:type="character" w:styleId="3ed3b5">
    <w:name w:val="Book Title"/>
    <w:basedOn w:val="8094ca"/>
    <w:uiPriority w:val="33"/>
    <w:semiHidden w:val="1"/>
    <w:unhideWhenUsed w:val="1"/>
    <w:qFormat w:val="1"/>
    <w:rPr>
      <w:b w:val="0"/>
      <w:bCs w:val="1"/>
      <w:i w:val="0"/>
      <w:iCs w:val="1"/>
      <w:spacing w:val="0"/>
      <w:u w:val="single"/>
    </w:rPr>
  </w:style>
  <w:style w:type="character" w:styleId="d3c379" w:customStyle="1">
    <w:name w:val="批注文字 字符"/>
    <w:basedOn w:val="8094ca"/>
    <w:link w:val="78f09f"/>
    <w:uiPriority w:val="99"/>
    <w:semiHidden w:val="1"/>
    <w:rsid w:val="00CC3A7F"/>
    <w:rPr>
      <w:szCs w:val="20"/>
    </w:rPr>
  </w:style>
  <w:style w:type="character" w:styleId="7648ec">
    <w:name w:val="HTML Keyboard"/>
    <w:basedOn w:val="8094ca"/>
    <w:uiPriority w:val="99"/>
    <w:semiHidden w:val="1"/>
    <w:unhideWhenUsed w:val="1"/>
    <w:rsid w:val="00CC3A7F"/>
    <w:rPr>
      <w:rFonts w:ascii="Consolas" w:hAnsi="Consolas"/>
      <w:sz w:val="22"/>
      <w:szCs w:val="20"/>
    </w:rPr>
  </w:style>
  <w:style w:type="character" w:styleId="95e20a" w:customStyle="1">
    <w:name w:val="正文文本 3 字符"/>
    <w:basedOn w:val="8094ca"/>
    <w:link w:val="2f8777"/>
    <w:uiPriority w:val="99"/>
    <w:semiHidden w:val="1"/>
    <w:rsid w:val="00CC3A7F"/>
    <w:rPr>
      <w:szCs w:val="16"/>
    </w:rPr>
  </w:style>
  <w:style w:type="character" w:styleId="8094ca" w:default="1">
    <w:name w:val="Default Paragraph Font"/>
    <w:uiPriority w:val="1"/>
    <w:semiHidden w:val="1"/>
    <w:unhideWhenUsed w:val="1"/>
  </w:style>
  <w:style w:type="character" w:styleId="0b5919" w:customStyle="1">
    <w:name w:val="纯文本 字符"/>
    <w:basedOn w:val="8094ca"/>
    <w:link w:val="1f676d"/>
    <w:uiPriority w:val="99"/>
    <w:semiHidden w:val="1"/>
    <w:rsid w:val="00CC3A7F"/>
    <w:rPr>
      <w:rFonts w:ascii="Consolas" w:hAnsi="Consolas"/>
      <w:szCs w:val="21"/>
    </w:rPr>
  </w:style>
  <w:style w:type="paragraph" w:styleId="411bd4">
    <w:name w:val="footer"/>
    <w:basedOn w:val="0a00d3"/>
    <w:link w:val="ca1075"/>
    <w:uiPriority w:val="99"/>
    <w:unhideWhenUsed w:val="1"/>
    <w:qFormat w:val="1"/>
    <w:pPr>
      <w:spacing w:after="0" w:line="240" w:lineRule="auto"/>
    </w:pPr>
    <w:rPr>
      <w:b w:val="1"/>
      <w:sz w:val="46"/>
    </w:rPr>
  </w:style>
  <w:style w:type="paragraph" w:styleId="b74117">
    <w:name w:val="heading 2"/>
    <w:basedOn w:val="0a00d3"/>
    <w:next w:val="0a00d3"/>
    <w:link w:val="788043"/>
    <w:uiPriority w:val="1"/>
    <w:unhideWhenUsed w:val="1"/>
    <w:qFormat w:val="1"/>
    <w:rsid w:val="00D54F24"/>
    <w:pPr>
      <w:keepNext w:val="1"/>
      <w:keepLines w:val="1"/>
      <w:pBdr>
        <w:top w:val="single" w:color="2A2A2A" w:themeColor="text2" w:sz="24" w:space="18"/>
      </w:pBdr>
      <w:spacing w:after="320" w:line="240" w:lineRule="auto"/>
      <w:contextualSpacing w:val="1"/>
      <w:outlineLvl w:val="1"/>
    </w:pPr>
    <w:rPr>
      <w:rFonts w:asciiTheme="majorHAnsi" w:hAnsiTheme="majorHAnsi" w:eastAsiaTheme="majorEastAsia" w:cstheme="majorBidi"/>
      <w:b w:val="1"/>
      <w:color w:val="7A4F13" w:themeColor="accent1" w:themeShade="80"/>
      <w:sz w:val="38"/>
      <w:szCs w:val="26"/>
    </w:rPr>
  </w:style>
  <w:style w:type="character" w:styleId="b9f6ee" w:customStyle="1">
    <w:name w:val="宏文本 字符"/>
    <w:basedOn w:val="8094ca"/>
    <w:link w:val="782740"/>
    <w:uiPriority w:val="99"/>
    <w:semiHidden w:val="1"/>
    <w:rsid w:val="00CC3A7F"/>
    <w:rPr>
      <w:rFonts w:ascii="Consolas" w:hAnsi="Consolas"/>
      <w:szCs w:val="20"/>
    </w:rPr>
  </w:style>
  <w:style w:type="character" w:styleId="c648c0">
    <w:name w:val="Subtle Emphasis"/>
    <w:basedOn w:val="8094ca"/>
    <w:uiPriority w:val="19"/>
    <w:semiHidden w:val="1"/>
    <w:unhideWhenUsed w:val="1"/>
    <w:qFormat w:val="1"/>
    <w:rPr>
      <w:i w:val="1"/>
      <w:iCs w:val="1"/>
      <w:color w:val="2A2A2A" w:themeColor="text2"/>
    </w:rPr>
  </w:style>
  <w:style w:type="paragraph" w:styleId="a53a36">
    <w:name w:val="endnote text"/>
    <w:basedOn w:val="0a00d3"/>
    <w:link w:val="befe12"/>
    <w:uiPriority w:val="99"/>
    <w:semiHidden w:val="1"/>
    <w:unhideWhenUsed w:val="1"/>
    <w:rsid w:val="00CC3A7F"/>
    <w:pPr>
      <w:spacing w:after="0" w:line="240" w:lineRule="auto"/>
    </w:pPr>
    <w:rPr>
      <w:szCs w:val="20"/>
    </w:rPr>
  </w:style>
  <w:style w:type="paragraph" w:styleId="e7dc85">
    <w:name w:val="heading 5"/>
    <w:basedOn w:val="0a00d3"/>
    <w:next w:val="0a00d3"/>
    <w:link w:val="ca867f"/>
    <w:uiPriority w:val="1"/>
    <w:semiHidden w:val="1"/>
    <w:unhideWhenUsed w:val="1"/>
    <w:qFormat w:val="1"/>
    <w:rsid w:val="00CC3A7F"/>
    <w:pPr>
      <w:keepNext w:val="1"/>
      <w:keepLines w:val="1"/>
      <w:spacing w:after="320" w:line="240" w:lineRule="auto"/>
      <w:contextualSpacing w:val="1"/>
      <w:outlineLvl w:val="4"/>
    </w:pPr>
    <w:rPr>
      <w:rFonts w:asciiTheme="majorHAnsi" w:hAnsiTheme="majorHAnsi" w:eastAsiaTheme="majorEastAsia" w:cstheme="majorBidi"/>
      <w:b w:val="1"/>
      <w:color w:val="5F5F5F" w:themeColor="text2" w:themeTint="BF"/>
      <w:sz w:val="36"/>
    </w:rPr>
  </w:style>
  <w:style w:type="table" w:styleId="5ab133" w:customStyle="1">
    <w:name w:val="现代论文"/>
    <w:basedOn w:val="411e28"/>
    <w:uiPriority w:val="99"/>
    <w:rsid w:val="00CC3A7F"/>
    <w:pPr>
      <w:spacing w:before="200" w:line="240" w:lineRule="auto"/>
    </w:pPr>
    <w:tblPr>
      <w:tblBorders>
        <w:insideH w:val="single" w:color="2A2A2A" w:themeColor="text2" w:sz="8" w:space="0"/>
      </w:tblBorders>
      <w:tblCellMar>
        <w:left w:w="144" w:type="dxa"/>
        <w:right w:w="144" w:type="dxa"/>
      </w:tblCellMar>
    </w:tblPr>
    <w:tcPr>
      <w:vAlign w:val="center"/>
    </w:tcPr>
    <w:tblStylePr w:type="firstRow">
      <w:pPr>
        <w:wordWrap w:val="1"/>
        <w:spacing w:before="480" w:beforeLines="0" w:beforeAutospacing="0" w:after="360" w:afterLines="0" w:afterAutospacing="0" w:line="216" w:lineRule="auto"/>
        <w:contextualSpacing w:val="0"/>
      </w:pPr>
      <w:rPr>
        <w:rFonts w:asciiTheme="majorHAnsi" w:hAnsiTheme="majorHAnsi"/>
        <w:b w:val="1"/>
        <w:i w:val="0"/>
        <w:color w:val="7A4F13" w:themeColor="accent1" w:themeShade="80"/>
        <w:sz w:val="28"/>
      </w:rPr>
      <w:tblPr/>
      <w:trPr>
        <w:tblHeader w:val="1"/>
      </w:trPr>
      <w:tcPr>
        <w:tcBorders>
          <w:top w:val="nil"/>
          <w:left w:val="nil"/>
          <w:bottom w:val="single" w:color="2A2A2A" w:themeColor="text2" w:sz="24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pPr>
        <w:wordWrap w:val="1"/>
        <w:jc w:val="left"/>
      </w:pPr>
    </w:tblStylePr>
    <w:tblStylePr w:type="firstCol">
      <w:pPr>
        <w:wordWrap w:val="1"/>
        <w:jc w:val="right"/>
      </w:pPr>
      <w:rPr>
        <w:b w:val="1"/>
      </w:rPr>
      <w:tblPr/>
      <w:tcPr>
        <w:tcMar>
          <w:top w:w="0" w:type="nil"/>
          <w:left w:w="0" w:type="nil"/>
          <w:bottom w:w="0" w:type="nil"/>
          <w:right w:w="432" w:type="dxa"/>
        </w:tcMar>
      </w:tcPr>
    </w:tblStylePr>
  </w:style>
  <w:style w:type="character" w:styleId="8bad1f">
    <w:name w:val="HTML Code"/>
    <w:basedOn w:val="8094ca"/>
    <w:uiPriority w:val="99"/>
    <w:semiHidden w:val="1"/>
    <w:unhideWhenUsed w:val="1"/>
    <w:rsid w:val="00CC3A7F"/>
    <w:rPr>
      <w:rFonts w:ascii="Consolas" w:hAnsi="Consolas"/>
      <w:sz w:val="22"/>
      <w:szCs w:val="20"/>
    </w:rPr>
  </w:style>
  <w:style w:type="character" w:styleId="542845" w:customStyle="1">
    <w:name w:val="引用 字符"/>
    <w:basedOn w:val="8094ca"/>
    <w:link w:val="031cad"/>
    <w:uiPriority w:val="3"/>
    <w:rsid w:val="0029097C"/>
    <w:rPr>
      <w:iCs w:val="1"/>
      <w:sz w:val="60"/>
    </w:rPr>
  </w:style>
  <w:style w:type="character" w:styleId="93c465">
    <w:name w:val="Strong"/>
    <w:basedOn w:val="8094ca"/>
    <w:uiPriority w:val="22"/>
    <w:unhideWhenUsed w:val="1"/>
    <w:qFormat w:val="1"/>
    <w:rPr>
      <w:b w:val="1"/>
      <w:bCs w:val="1"/>
    </w:rPr>
  </w:style>
  <w:style w:type="character" w:styleId="b6e37c">
    <w:name w:val="Placeholder Text"/>
    <w:basedOn w:val="8094ca"/>
    <w:uiPriority w:val="99"/>
    <w:semiHidden w:val="1"/>
    <w:rsid w:val="00666F9E"/>
    <w:rPr>
      <w:color w:val="595959" w:themeColor="text1" w:themeTint="A6"/>
    </w:rPr>
  </w:style>
  <w:style w:type="character" w:styleId="a35bcd">
    <w:name w:val="Hyperlink"/>
    <w:basedOn w:val="8094ca"/>
    <w:uiPriority w:val="99"/>
    <w:unhideWhenUsed w:val="1"/>
    <w:rsid w:val="000B4B27"/>
    <w:rPr>
      <w:color w:val="413C4C" w:themeColor="accent3" w:themeShade="80"/>
      <w:u w:val="single"/>
    </w:rPr>
  </w:style>
  <w:style w:type="paragraph" w:styleId="4d4bf7">
    <w:name w:val="annotation subject"/>
    <w:basedOn w:val="78f09f"/>
    <w:next w:val="78f09f"/>
    <w:link w:val="c2da3c"/>
    <w:uiPriority w:val="99"/>
    <w:semiHidden w:val="1"/>
    <w:unhideWhenUsed w:val="1"/>
    <w:rsid w:val="00CC3A7F"/>
    <w:rPr>
      <w:b w:val="1"/>
      <w:bCs w:val="1"/>
    </w:rPr>
  </w:style>
  <w:style w:type="paragraph" w:styleId="fe81fb" w:customStyle="1">
    <w:name w:val="paragraph"/>
    <w:basedOn w:val="0a00d3"/>
    <w:rsid w:val="00220A46"/>
    <w:pPr>
      <w:spacing w:before="100" w:beforeAutospacing="1" w:after="100" w:afterAutospacing="1" w:line="240" w:lineRule="auto"/>
    </w:pPr>
    <w:rPr>
      <w:rFonts w:ascii="宋体" w:hAnsi="宋体" w:eastAsia="宋体" w:cs="宋体"/>
      <w:color w:val="auto"/>
      <w:sz w:val="24"/>
      <w:szCs w:val="24"/>
    </w:rPr>
  </w:style>
  <w:style w:type="character" w:styleId="ca1075" w:customStyle="1">
    <w:name w:val="页脚 字符"/>
    <w:basedOn w:val="8094ca"/>
    <w:link w:val="411bd4"/>
    <w:uiPriority w:val="99"/>
    <w:rPr>
      <w:b w:val="1"/>
      <w:sz w:val="46"/>
    </w:rPr>
  </w:style>
  <w:style w:type="character" w:styleId="2a826f" w:customStyle="1">
    <w:name w:val="标题 7 字符"/>
    <w:basedOn w:val="8094ca"/>
    <w:link w:val="86d55e"/>
    <w:uiPriority w:val="1"/>
    <w:semiHidden w:val="1"/>
    <w:rsid w:val="0029097C"/>
    <w:rPr>
      <w:rFonts w:asciiTheme="majorHAnsi" w:hAnsiTheme="majorHAnsi" w:eastAsiaTheme="majorEastAsia" w:cstheme="majorBidi"/>
      <w:b w:val="1"/>
      <w:iCs w:val="1"/>
      <w:sz w:val="32"/>
    </w:rPr>
  </w:style>
  <w:style w:type="paragraph" w:styleId="18fb3c">
    <w:name w:val="heading 8"/>
    <w:basedOn w:val="0a00d3"/>
    <w:next w:val="0a00d3"/>
    <w:link w:val="42bdf7"/>
    <w:uiPriority w:val="1"/>
    <w:semiHidden w:val="1"/>
    <w:unhideWhenUsed w:val="1"/>
    <w:qFormat w:val="1"/>
    <w:rsid w:val="00CC3A7F"/>
    <w:pPr>
      <w:keepNext w:val="1"/>
      <w:keepLines w:val="1"/>
      <w:spacing w:after="240" w:line="240" w:lineRule="auto"/>
      <w:contextualSpacing w:val="1"/>
      <w:outlineLvl w:val="7"/>
    </w:pPr>
    <w:rPr>
      <w:rFonts w:asciiTheme="majorHAnsi" w:hAnsiTheme="majorHAnsi" w:eastAsiaTheme="majorEastAsia" w:cstheme="majorBidi"/>
      <w:b w:val="1"/>
      <w:i w:val="1"/>
      <w:sz w:val="32"/>
      <w:szCs w:val="21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theme" Target="theme/theme1.xml" /><Relationship Id="rId7" Type="http://schemas.openxmlformats.org/officeDocument/2006/relationships/header" Target="header1.xml" /><Relationship Id="rId4" Type="http://schemas.openxmlformats.org/officeDocument/2006/relationships/fontTable" Target="fontTable.xml" /><Relationship Id="rId29" Type="http://schemas.openxmlformats.org/officeDocument/2006/relationships/image" Target="media/image17.png" /><Relationship Id="rId3" Type="http://schemas.openxmlformats.org/officeDocument/2006/relationships/endnotes" Target="endnotes.xml" /><Relationship Id="rId28" Type="http://schemas.openxmlformats.org/officeDocument/2006/relationships/image" Target="media/image16.png" /><Relationship Id="rId27" Type="http://schemas.openxmlformats.org/officeDocument/2006/relationships/image" Target="media/image15.png" /><Relationship Id="rId26" Type="http://schemas.openxmlformats.org/officeDocument/2006/relationships/image" Target="media/image14.png" /><Relationship Id="rId25" Type="http://schemas.openxmlformats.org/officeDocument/2006/relationships/image" Target="media/image13.png" /><Relationship Id="rId24" Type="http://schemas.openxmlformats.org/officeDocument/2006/relationships/image" Target="media/image12.png" /><Relationship Id="rId23" Type="http://schemas.openxmlformats.org/officeDocument/2006/relationships/image" Target="media/image11.jpg" /><Relationship Id="rId12" Type="http://schemas.openxmlformats.org/officeDocument/2006/relationships/footer" Target="footer3.xml" /><Relationship Id="rId9" Type="http://schemas.openxmlformats.org/officeDocument/2006/relationships/header" Target="header3.xml" /><Relationship Id="rId8" Type="http://schemas.openxmlformats.org/officeDocument/2006/relationships/header" Target="header2.xml" /><Relationship Id="rId13" Type="http://schemas.openxmlformats.org/officeDocument/2006/relationships/image" Target="media/image1.png" /><Relationship Id="rId1" Type="http://schemas.openxmlformats.org/officeDocument/2006/relationships/settings" Target="settings.xml" /><Relationship Id="rId6" Type="http://schemas.openxmlformats.org/officeDocument/2006/relationships/numbering" Target="numbering.xml" /><Relationship Id="rId16" Type="http://schemas.openxmlformats.org/officeDocument/2006/relationships/image" Target="media/image4.png" /><Relationship Id="rId11" Type="http://schemas.openxmlformats.org/officeDocument/2006/relationships/footer" Target="footer2.xml" /><Relationship Id="rId10" Type="http://schemas.openxmlformats.org/officeDocument/2006/relationships/footer" Target="footer1.xml" /><Relationship Id="rId0" Type="http://schemas.openxmlformats.org/officeDocument/2006/relationships/styles" Target="styles.xml" /><Relationship Id="rId14" Type="http://schemas.openxmlformats.org/officeDocument/2006/relationships/image" Target="media/image2.png" /><Relationship Id="rId22" Type="http://schemas.openxmlformats.org/officeDocument/2006/relationships/image" Target="media/image10.png" /><Relationship Id="rId17" Type="http://schemas.openxmlformats.org/officeDocument/2006/relationships/image" Target="media/image5.png" /><Relationship Id="rId15" Type="http://schemas.openxmlformats.org/officeDocument/2006/relationships/image" Target="media/image3.png" /><Relationship Id="rId20" Type="http://schemas.openxmlformats.org/officeDocument/2006/relationships/image" Target="media/image8.png" /><Relationship Id="rId18" Type="http://schemas.openxmlformats.org/officeDocument/2006/relationships/image" Target="media/image6.png" /><Relationship Id="rId2" Type="http://schemas.openxmlformats.org/officeDocument/2006/relationships/footnotes" Target="footnotes.xml" /><Relationship Id="rId19" Type="http://schemas.openxmlformats.org/officeDocument/2006/relationships/image" Target="media/image7.png" /><Relationship Id="rId21" Type="http://schemas.openxmlformats.org/officeDocument/2006/relationships/image" Target="media/image9.png" /></Relationships>
</file>

<file path=word/_rels/settings.xml.rels><?xml version="1.0" encoding="UTF-8" standalone="yes"?><Relationships xmlns="http://schemas.openxmlformats.org/package/2006/relationships"><Relationship Id="" Type="http://schemas.openxmlformats.org/officeDocument/2006/relationships/attachedTemplate" Target="b284ce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2A2A2A"/>
      </a:dk2>
      <a:lt2>
        <a:srgbClr val="F9F4EE"/>
      </a:lt2>
      <a:accent1>
        <a:srgbClr val="E09B3B"/>
      </a:accent1>
      <a:accent2>
        <a:srgbClr val="487B97"/>
      </a:accent2>
      <a:accent3>
        <a:srgbClr val="847B97"/>
      </a:accent3>
      <a:accent4>
        <a:srgbClr val="D96362"/>
      </a:accent4>
      <a:accent5>
        <a:srgbClr val="2B8073"/>
      </a:accent5>
      <a:accent6>
        <a:srgbClr val="B09C7D"/>
      </a:accent6>
      <a:hlink>
        <a:srgbClr val="847B97"/>
      </a:hlink>
      <a:folHlink>
        <a:srgbClr val="487B97"/>
      </a:folHlink>
    </a:clrScheme>
    <a:fontScheme name="Custom 9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2026-08-31T16:22:27Z</dcterms:created>
  <dcterms:modified xsi:type="dcterms:W3CDTF">2026-08-31T16:22:27Z</dcterms:modified>
</cp:coreProperties>
</file>