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2B013A" w14:textId="70778C86" w:rsidR="0011557A" w:rsidRDefault="00797B31">
      <w:r>
        <w:rPr>
          <w:rFonts w:ascii="Arial" w:eastAsiaTheme="minorEastAsia" w:hAnsi="Arial" w:cs="Arial"/>
          <w:noProof/>
          <w:color w:val="44546A" w:themeColor="text2"/>
          <w:kern w:val="24"/>
          <w:sz w:val="18"/>
          <w:szCs w:val="18"/>
        </w:rPr>
        <w:drawing>
          <wp:inline distT="0" distB="0" distL="0" distR="0" wp14:anchorId="1493102A" wp14:editId="68DFE596">
            <wp:extent cx="5624448" cy="7278730"/>
            <wp:effectExtent l="0" t="0" r="0" b="0"/>
            <wp:docPr id="1" name="Picture 1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p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5464" cy="7292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2ACE8" w14:textId="77777777" w:rsidR="00170EB9" w:rsidRPr="00D90009" w:rsidRDefault="00170EB9" w:rsidP="00170EB9">
      <w:pPr>
        <w:spacing w:after="0" w:line="240" w:lineRule="auto"/>
        <w:rPr>
          <w:rFonts w:ascii="Arial" w:eastAsiaTheme="minorEastAsia" w:hAnsi="Arial" w:cs="Arial"/>
          <w:color w:val="44546A" w:themeColor="text2"/>
          <w:kern w:val="24"/>
        </w:rPr>
      </w:pPr>
      <w:r w:rsidRPr="00D90009">
        <w:rPr>
          <w:rFonts w:ascii="Arial" w:hAnsi="Arial" w:cs="Arial"/>
        </w:rPr>
        <w:t>Figure 1. Locations of 18 major Fraser Sockeye salmon stocks where spawning data were collected</w:t>
      </w:r>
      <w:r>
        <w:rPr>
          <w:rFonts w:ascii="Arial" w:hAnsi="Arial" w:cs="Arial"/>
        </w:rPr>
        <w:t xml:space="preserve">. Color indicate different run type, including Early Stuart (red); Early Summer run (green): Bowron, Fennel (Upper Barriere), Scotch, Nadina, Pitt, Seymour, Gates; Summer run (blue): Chilko, Quesnel, Late Stuart, Stellako, Raft; Late run (purple): Late Shuswap, Cultus, Portage, Weaver and Birkenhead. </w:t>
      </w:r>
    </w:p>
    <w:p w14:paraId="3556D323" w14:textId="6BF9133C" w:rsidR="00797B31" w:rsidRDefault="00797B3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F3B898A" wp14:editId="2A7F4B37">
            <wp:extent cx="5603240" cy="7004050"/>
            <wp:effectExtent l="0" t="0" r="0" b="6350"/>
            <wp:docPr id="2" name="Picture 2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imelin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5264" cy="700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EE35D" w14:textId="101F0DDF" w:rsidR="00F63C41" w:rsidRPr="00F51CA5" w:rsidRDefault="00F63C41" w:rsidP="00F63C41">
      <w:pPr>
        <w:spacing w:after="0" w:line="240" w:lineRule="auto"/>
        <w:ind w:left="360"/>
        <w:rPr>
          <w:rFonts w:ascii="Arial" w:hAnsi="Arial" w:cs="Arial"/>
        </w:rPr>
      </w:pPr>
      <w:r w:rsidRPr="00F51CA5">
        <w:rPr>
          <w:rFonts w:ascii="Arial" w:hAnsi="Arial" w:cs="Arial"/>
        </w:rPr>
        <w:t>Figure 2. Interannual variation of 10 environmental and ecological variables</w:t>
      </w:r>
      <w:r>
        <w:rPr>
          <w:rFonts w:ascii="Arial" w:hAnsi="Arial" w:cs="Arial"/>
        </w:rPr>
        <w:t xml:space="preserve"> from 1050-2020</w:t>
      </w:r>
      <w:r w:rsidRPr="00F51CA5">
        <w:rPr>
          <w:rFonts w:ascii="Arial" w:hAnsi="Arial" w:cs="Arial"/>
        </w:rPr>
        <w:t xml:space="preserve">, including Entrance Island sea surface temperature (Ei.SST, unit in </w:t>
      </w:r>
      <w:r w:rsidRPr="00F51CA5">
        <w:rPr>
          <w:rFonts w:ascii="Arial" w:hAnsi="Arial" w:cs="Arial"/>
          <w:vertAlign w:val="superscript"/>
        </w:rPr>
        <w:t>o</w:t>
      </w:r>
      <w:r w:rsidRPr="00F51CA5">
        <w:rPr>
          <w:rFonts w:ascii="Arial" w:hAnsi="Arial" w:cs="Arial"/>
        </w:rPr>
        <w:t>C), Pine Island sea surface temperature (Pi.SST</w:t>
      </w:r>
      <w:r>
        <w:rPr>
          <w:rFonts w:ascii="Arial" w:hAnsi="Arial" w:cs="Arial"/>
        </w:rPr>
        <w:t>,</w:t>
      </w:r>
      <w:r w:rsidRPr="001B4CFB">
        <w:rPr>
          <w:rFonts w:ascii="Arial" w:hAnsi="Arial" w:cs="Arial"/>
          <w:vertAlign w:val="superscript"/>
        </w:rPr>
        <w:t xml:space="preserve"> </w:t>
      </w:r>
      <w:r>
        <w:rPr>
          <w:rFonts w:ascii="Arial" w:hAnsi="Arial" w:cs="Arial"/>
          <w:vertAlign w:val="superscript"/>
        </w:rPr>
        <w:t xml:space="preserve"> </w:t>
      </w:r>
      <w:r w:rsidRPr="00F51CA5">
        <w:rPr>
          <w:rFonts w:ascii="Arial" w:hAnsi="Arial" w:cs="Arial"/>
          <w:vertAlign w:val="superscript"/>
        </w:rPr>
        <w:t>o</w:t>
      </w:r>
      <w:r w:rsidRPr="00F51CA5">
        <w:rPr>
          <w:rFonts w:ascii="Arial" w:hAnsi="Arial" w:cs="Arial"/>
        </w:rPr>
        <w:t>C), mean and peak Fraser River discharge at Hope (unit m</w:t>
      </w:r>
      <w:r w:rsidRPr="001A1C55">
        <w:rPr>
          <w:rFonts w:ascii="Arial" w:hAnsi="Arial" w:cs="Arial"/>
          <w:vertAlign w:val="superscript"/>
        </w:rPr>
        <w:t>3</w:t>
      </w:r>
      <w:r w:rsidRPr="00F51CA5">
        <w:rPr>
          <w:rFonts w:ascii="Arial" w:hAnsi="Arial" w:cs="Arial"/>
        </w:rPr>
        <w:t>/s),  Pacific Decadal Oscillation (PDO), Gulf of Alaska sea surface temperature(GOA.SST</w:t>
      </w:r>
      <w:r>
        <w:rPr>
          <w:rFonts w:ascii="Arial" w:hAnsi="Arial" w:cs="Arial"/>
        </w:rPr>
        <w:t xml:space="preserve">, </w:t>
      </w:r>
      <w:r w:rsidRPr="00F51CA5">
        <w:rPr>
          <w:rFonts w:ascii="Arial" w:hAnsi="Arial" w:cs="Arial"/>
          <w:vertAlign w:val="superscript"/>
        </w:rPr>
        <w:t>o</w:t>
      </w:r>
      <w:r w:rsidRPr="00F51CA5">
        <w:rPr>
          <w:rFonts w:ascii="Arial" w:hAnsi="Arial" w:cs="Arial"/>
        </w:rPr>
        <w:t>C), North Pacific sockeye, chum, pink salmon abundance (catch plus escapement, number in million), and total salmon (sum of sockeye, chum and pink).</w:t>
      </w:r>
    </w:p>
    <w:p w14:paraId="4A5DEC48" w14:textId="1EC53F6D" w:rsidR="00F63C41" w:rsidRPr="00F63C41" w:rsidRDefault="00F63C41" w:rsidP="00F63C41">
      <w:pPr>
        <w:tabs>
          <w:tab w:val="left" w:pos="2010"/>
        </w:tabs>
      </w:pPr>
    </w:p>
    <w:p w14:paraId="62737206" w14:textId="5A0A836D" w:rsidR="00797B31" w:rsidRDefault="00797B31"/>
    <w:p w14:paraId="520660C2" w14:textId="124F187F" w:rsidR="00170EB9" w:rsidRPr="00F72729" w:rsidRDefault="00170EB9" w:rsidP="00170EB9">
      <w:pPr>
        <w:rPr>
          <w:rFonts w:ascii="Arial" w:hAnsi="Arial" w:cs="Arial"/>
        </w:rPr>
      </w:pPr>
      <w:r w:rsidRPr="00F72729">
        <w:rPr>
          <w:rFonts w:ascii="Arial" w:hAnsi="Arial" w:cs="Arial"/>
        </w:rPr>
        <w:t xml:space="preserve">Figure </w:t>
      </w:r>
      <w:r>
        <w:rPr>
          <w:rFonts w:ascii="Arial" w:hAnsi="Arial" w:cs="Arial"/>
        </w:rPr>
        <w:t>3</w:t>
      </w:r>
      <w:r w:rsidRPr="00F72729">
        <w:rPr>
          <w:rFonts w:ascii="Arial" w:hAnsi="Arial" w:cs="Arial"/>
        </w:rPr>
        <w:t xml:space="preserve">. </w:t>
      </w:r>
      <w:r>
        <w:rPr>
          <w:rFonts w:ascii="Arial" w:hAnsi="Arial" w:cs="Arial"/>
        </w:rPr>
        <w:t>R</w:t>
      </w:r>
      <w:r w:rsidRPr="00F72729">
        <w:rPr>
          <w:rFonts w:ascii="Arial" w:hAnsi="Arial" w:cs="Arial"/>
        </w:rPr>
        <w:t xml:space="preserve">elative ranking </w:t>
      </w:r>
      <w:r>
        <w:rPr>
          <w:rFonts w:ascii="Arial" w:hAnsi="Arial" w:cs="Arial"/>
        </w:rPr>
        <w:t xml:space="preserve">among </w:t>
      </w:r>
      <w:r w:rsidRPr="00F72729">
        <w:rPr>
          <w:rFonts w:ascii="Arial" w:hAnsi="Arial" w:cs="Arial"/>
        </w:rPr>
        <w:t xml:space="preserve">all </w:t>
      </w:r>
      <w:r>
        <w:rPr>
          <w:rFonts w:ascii="Arial" w:hAnsi="Arial" w:cs="Arial"/>
        </w:rPr>
        <w:t>37</w:t>
      </w:r>
      <w:r w:rsidRPr="00F72729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forecast </w:t>
      </w:r>
      <w:r w:rsidRPr="00F72729">
        <w:rPr>
          <w:rFonts w:ascii="Arial" w:hAnsi="Arial" w:cs="Arial"/>
        </w:rPr>
        <w:t>models</w:t>
      </w:r>
      <w:r>
        <w:rPr>
          <w:rFonts w:ascii="Arial" w:hAnsi="Arial" w:cs="Arial"/>
        </w:rPr>
        <w:t xml:space="preserve"> for all 18 stocks. The relative ranking (scale of 0-1) was derived from the overall ranking table by dividing the rank of a model by the number of models </w:t>
      </w:r>
      <w:r w:rsidR="00F71BDA">
        <w:rPr>
          <w:rFonts w:ascii="Arial" w:hAnsi="Arial" w:cs="Arial"/>
        </w:rPr>
        <w:t>evaluated</w:t>
      </w:r>
      <w:r>
        <w:rPr>
          <w:rFonts w:ascii="Arial" w:hAnsi="Arial" w:cs="Arial"/>
        </w:rPr>
        <w:t xml:space="preserve"> for that individual stock</w:t>
      </w:r>
      <w:r w:rsidRPr="00F72729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Blank indicates the model </w:t>
      </w:r>
      <w:r w:rsidR="00F71BDA">
        <w:rPr>
          <w:rFonts w:ascii="Arial" w:hAnsi="Arial" w:cs="Arial"/>
        </w:rPr>
        <w:t>was</w:t>
      </w:r>
      <w:r>
        <w:rPr>
          <w:rFonts w:ascii="Arial" w:hAnsi="Arial" w:cs="Arial"/>
        </w:rPr>
        <w:t xml:space="preserve"> not applicable to the stock.</w:t>
      </w:r>
    </w:p>
    <w:p w14:paraId="7FB4B165" w14:textId="77777777" w:rsidR="00170EB9" w:rsidRDefault="00170EB9"/>
    <w:p w14:paraId="1BD4F113" w14:textId="58AE52AF" w:rsidR="003305B3" w:rsidRDefault="00CB44E0">
      <w:r>
        <w:rPr>
          <w:noProof/>
        </w:rPr>
        <w:drawing>
          <wp:inline distT="0" distB="0" distL="0" distR="0" wp14:anchorId="32A6E6B5" wp14:editId="5023DAC0">
            <wp:extent cx="5943600" cy="3441065"/>
            <wp:effectExtent l="0" t="0" r="0" b="6985"/>
            <wp:docPr id="5" name="Picture 5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background patter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13E32" w14:textId="3F2BC20E" w:rsidR="003305B3" w:rsidRDefault="003305B3"/>
    <w:p w14:paraId="0CC06E47" w14:textId="4D534F71" w:rsidR="003305B3" w:rsidRDefault="003305B3"/>
    <w:p w14:paraId="101B7DFE" w14:textId="09BD27E2" w:rsidR="003305B3" w:rsidRDefault="003305B3"/>
    <w:p w14:paraId="38AFBBD4" w14:textId="48C58CBB" w:rsidR="003305B3" w:rsidRDefault="003305B3"/>
    <w:p w14:paraId="5DB4BE2B" w14:textId="79F06876" w:rsidR="003305B3" w:rsidRDefault="003305B3"/>
    <w:p w14:paraId="16E465D7" w14:textId="53239D08" w:rsidR="003305B3" w:rsidRDefault="003305B3"/>
    <w:p w14:paraId="184C1107" w14:textId="3935FA35" w:rsidR="003305B3" w:rsidRDefault="003305B3"/>
    <w:p w14:paraId="66CC93BA" w14:textId="514C238E" w:rsidR="003305B3" w:rsidRDefault="003305B3"/>
    <w:p w14:paraId="70FCE862" w14:textId="316BE3B9" w:rsidR="003305B3" w:rsidRDefault="003305B3"/>
    <w:p w14:paraId="130C0E3F" w14:textId="508B38CA" w:rsidR="003305B3" w:rsidRDefault="003305B3"/>
    <w:p w14:paraId="080E762D" w14:textId="2DD85931" w:rsidR="003305B3" w:rsidRDefault="003305B3"/>
    <w:p w14:paraId="5FE27328" w14:textId="0D68B4E1" w:rsidR="003305B3" w:rsidRDefault="003305B3"/>
    <w:p w14:paraId="5FD279C5" w14:textId="46289E9A" w:rsidR="003305B3" w:rsidRPr="00F72729" w:rsidRDefault="00DC7AA2" w:rsidP="003305B3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F594C4B" wp14:editId="6EF4574C">
            <wp:extent cx="5943600" cy="3441065"/>
            <wp:effectExtent l="0" t="0" r="0" b="6985"/>
            <wp:docPr id="6" name="Picture 6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Background patter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FCC12" w14:textId="2C808C93" w:rsidR="003305B3" w:rsidRDefault="00170EB9" w:rsidP="00170EB9">
      <w:pPr>
        <w:tabs>
          <w:tab w:val="left" w:pos="4120"/>
        </w:tabs>
      </w:pPr>
      <w:commentRangeStart w:id="0"/>
      <w:r w:rsidRPr="00F72729">
        <w:rPr>
          <w:rFonts w:ascii="Arial" w:hAnsi="Arial" w:cs="Arial"/>
        </w:rPr>
        <w:t xml:space="preserve">Figure </w:t>
      </w:r>
      <w:commentRangeEnd w:id="0"/>
      <w:r>
        <w:rPr>
          <w:rStyle w:val="CommentReference"/>
        </w:rPr>
        <w:commentReference w:id="0"/>
      </w:r>
      <w:r>
        <w:rPr>
          <w:rFonts w:ascii="Arial" w:hAnsi="Arial" w:cs="Arial"/>
        </w:rPr>
        <w:t>4</w:t>
      </w:r>
      <w:r w:rsidRPr="00F72729">
        <w:rPr>
          <w:rFonts w:ascii="Arial" w:hAnsi="Arial" w:cs="Arial"/>
        </w:rPr>
        <w:t xml:space="preserve">. </w:t>
      </w:r>
      <w:r>
        <w:rPr>
          <w:rFonts w:ascii="Arial" w:hAnsi="Arial" w:cs="Arial"/>
        </w:rPr>
        <w:t>Correlation (</w:t>
      </w:r>
      <w:r w:rsidRPr="00B872F3">
        <w:rPr>
          <w:rFonts w:ascii="Arial" w:hAnsi="Arial" w:cs="Arial"/>
          <w:i/>
          <w:iCs/>
        </w:rPr>
        <w:t>R</w:t>
      </w:r>
      <w:r>
        <w:rPr>
          <w:rFonts w:ascii="Arial" w:hAnsi="Arial" w:cs="Arial"/>
        </w:rPr>
        <w:t xml:space="preserve">) between the 2022 forecast and forecasts from </w:t>
      </w:r>
      <w:r w:rsidRPr="00F72729">
        <w:rPr>
          <w:rFonts w:ascii="Arial" w:hAnsi="Arial" w:cs="Arial"/>
        </w:rPr>
        <w:t xml:space="preserve">all </w:t>
      </w:r>
      <w:r>
        <w:rPr>
          <w:rFonts w:ascii="Arial" w:hAnsi="Arial" w:cs="Arial"/>
        </w:rPr>
        <w:t>37</w:t>
      </w:r>
      <w:r w:rsidRPr="00F72729">
        <w:rPr>
          <w:rFonts w:ascii="Arial" w:hAnsi="Arial" w:cs="Arial"/>
        </w:rPr>
        <w:t xml:space="preserve"> models</w:t>
      </w:r>
      <w:r>
        <w:rPr>
          <w:rFonts w:ascii="Arial" w:hAnsi="Arial" w:cs="Arial"/>
        </w:rPr>
        <w:t xml:space="preserve"> versus observations for all 18 Fraser sockeye stocks</w:t>
      </w:r>
      <w:r w:rsidRPr="00F72729">
        <w:rPr>
          <w:rFonts w:ascii="Arial" w:hAnsi="Arial" w:cs="Arial"/>
        </w:rPr>
        <w:t>.</w:t>
      </w:r>
    </w:p>
    <w:p w14:paraId="6FC9D507" w14:textId="2CFE5F96" w:rsidR="00BC7155" w:rsidRDefault="00BC7155"/>
    <w:p w14:paraId="35A5C2A7" w14:textId="33294D3F" w:rsidR="00BC7155" w:rsidRDefault="00BC7155"/>
    <w:p w14:paraId="528535CA" w14:textId="5B6D604C" w:rsidR="00BC7155" w:rsidRDefault="00BC7155"/>
    <w:p w14:paraId="0E141C41" w14:textId="348C9885" w:rsidR="00BC7155" w:rsidRDefault="00BC7155"/>
    <w:p w14:paraId="10C3F4EB" w14:textId="4897A39A" w:rsidR="00BC7155" w:rsidRDefault="00BC7155"/>
    <w:p w14:paraId="7C6C28AD" w14:textId="5C617DF7" w:rsidR="00BC7155" w:rsidRDefault="00BC7155"/>
    <w:p w14:paraId="232A5628" w14:textId="2A3805D0" w:rsidR="00BC7155" w:rsidRDefault="00BC7155"/>
    <w:p w14:paraId="4243C8C4" w14:textId="3D79D6A1" w:rsidR="00BC7155" w:rsidRDefault="00BC7155"/>
    <w:p w14:paraId="062BA6A6" w14:textId="53A4DEB5" w:rsidR="00BC7155" w:rsidRDefault="00BC7155"/>
    <w:p w14:paraId="7700ACA1" w14:textId="6FEB8563" w:rsidR="00BC7155" w:rsidRDefault="00BC7155"/>
    <w:p w14:paraId="39690C32" w14:textId="0E059CEE" w:rsidR="00BC7155" w:rsidRDefault="00BC7155"/>
    <w:p w14:paraId="5F43393C" w14:textId="2D1988BD" w:rsidR="00225F14" w:rsidRDefault="00EF052B">
      <w:r>
        <w:rPr>
          <w:rFonts w:ascii="Arial" w:hAnsi="Arial" w:cs="Arial"/>
          <w:noProof/>
        </w:rPr>
        <w:lastRenderedPageBreak/>
        <w:drawing>
          <wp:inline distT="0" distB="0" distL="0" distR="0" wp14:anchorId="4CA3080D" wp14:editId="33465AE3">
            <wp:extent cx="5943600" cy="5943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F7131" w14:textId="0EECE9F1" w:rsidR="00170EB9" w:rsidRDefault="00170EB9" w:rsidP="00170EB9">
      <w:pPr>
        <w:rPr>
          <w:rFonts w:ascii="Arial" w:hAnsi="Arial" w:cs="Arial"/>
        </w:rPr>
      </w:pPr>
      <w:commentRangeStart w:id="1"/>
      <w:r w:rsidRPr="00F51CA5">
        <w:rPr>
          <w:rFonts w:ascii="Arial" w:hAnsi="Arial" w:cs="Arial"/>
        </w:rPr>
        <w:t xml:space="preserve">Figure </w:t>
      </w:r>
      <w:r>
        <w:rPr>
          <w:rFonts w:ascii="Arial" w:hAnsi="Arial" w:cs="Arial"/>
        </w:rPr>
        <w:t>5a</w:t>
      </w:r>
      <w:r w:rsidRPr="00F51CA5">
        <w:rPr>
          <w:rFonts w:ascii="Arial" w:hAnsi="Arial" w:cs="Arial"/>
        </w:rPr>
        <w:t xml:space="preserve">. </w:t>
      </w:r>
      <w:commentRangeEnd w:id="1"/>
      <w:r>
        <w:rPr>
          <w:rStyle w:val="CommentReference"/>
        </w:rPr>
        <w:commentReference w:id="1"/>
      </w:r>
      <w:r w:rsidRPr="00F51CA5">
        <w:rPr>
          <w:rFonts w:ascii="Arial" w:hAnsi="Arial" w:cs="Arial"/>
        </w:rPr>
        <w:t xml:space="preserve">Taylor diagrams of </w:t>
      </w:r>
      <w:r>
        <w:rPr>
          <w:rFonts w:ascii="Arial" w:hAnsi="Arial" w:cs="Arial"/>
        </w:rPr>
        <w:t>nine</w:t>
      </w:r>
      <w:r w:rsidRPr="00F51CA5">
        <w:rPr>
          <w:rFonts w:ascii="Arial" w:hAnsi="Arial" w:cs="Arial"/>
        </w:rPr>
        <w:t xml:space="preserve"> sockeye stocks</w:t>
      </w:r>
      <w:r>
        <w:rPr>
          <w:rFonts w:ascii="Arial" w:hAnsi="Arial" w:cs="Arial"/>
        </w:rPr>
        <w:t xml:space="preserve"> including Early Stuart and Early Summer run: Bowron, Fennel (Upper Barriere), Scotch, Nadina, Pitt, Seymour, Gates; and Summer run: Chilko. Each diagram showing comparison</w:t>
      </w:r>
      <w:r w:rsidR="0003645D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among 37 model forecasts. The observations of 12-year returns were normalized as the reference point or observation (solid black cycle on the x-axis). The distance from the origin is the normalized standard deviation with the scale of 0-1.5 and normalized observation being 1. The angle describes the correlation between model and observation from 0 to 1. The dashed semi-circles around reference point on the x-axis illustrate the root-mean-square error. Models with negative correlations are not shown for each stock. The closer the model is to the reference point, the better predictive power the model has.</w:t>
      </w:r>
    </w:p>
    <w:p w14:paraId="7246222A" w14:textId="0E2A4C1E" w:rsidR="00170EB9" w:rsidRDefault="00170EB9" w:rsidP="00170EB9"/>
    <w:p w14:paraId="6704E8A0" w14:textId="07999C66" w:rsidR="00225F14" w:rsidRDefault="00225F14"/>
    <w:p w14:paraId="3F2DCF15" w14:textId="4FDFCAF5" w:rsidR="00225F14" w:rsidRDefault="00EF052B">
      <w:r>
        <w:rPr>
          <w:rFonts w:ascii="Arial" w:hAnsi="Arial" w:cs="Arial"/>
          <w:noProof/>
        </w:rPr>
        <w:lastRenderedPageBreak/>
        <w:drawing>
          <wp:inline distT="0" distB="0" distL="0" distR="0" wp14:anchorId="36AB6FD1" wp14:editId="0DD8C3E4">
            <wp:extent cx="5943600" cy="5943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D5F92" w14:textId="70E1A56C" w:rsidR="00170EB9" w:rsidRDefault="00170EB9" w:rsidP="00170EB9">
      <w:pPr>
        <w:rPr>
          <w:rFonts w:ascii="Arial" w:hAnsi="Arial" w:cs="Arial"/>
        </w:rPr>
      </w:pPr>
      <w:r w:rsidRPr="00F51CA5">
        <w:rPr>
          <w:rFonts w:ascii="Arial" w:hAnsi="Arial" w:cs="Arial"/>
        </w:rPr>
        <w:t xml:space="preserve">Figure </w:t>
      </w:r>
      <w:r>
        <w:rPr>
          <w:rFonts w:ascii="Arial" w:hAnsi="Arial" w:cs="Arial"/>
        </w:rPr>
        <w:t xml:space="preserve">5b. </w:t>
      </w:r>
      <w:r w:rsidRPr="00F51CA5">
        <w:rPr>
          <w:rFonts w:ascii="Arial" w:hAnsi="Arial" w:cs="Arial"/>
        </w:rPr>
        <w:t>Taylor diagrams of</w:t>
      </w:r>
      <w:r>
        <w:rPr>
          <w:rFonts w:ascii="Arial" w:hAnsi="Arial" w:cs="Arial"/>
        </w:rPr>
        <w:t xml:space="preserve"> nine</w:t>
      </w:r>
      <w:r w:rsidRPr="00F51CA5">
        <w:rPr>
          <w:rFonts w:ascii="Arial" w:hAnsi="Arial" w:cs="Arial"/>
        </w:rPr>
        <w:t xml:space="preserve"> sockeye stocks</w:t>
      </w:r>
      <w:r>
        <w:rPr>
          <w:rFonts w:ascii="Arial" w:hAnsi="Arial" w:cs="Arial"/>
        </w:rPr>
        <w:t xml:space="preserve"> including Summer run: Quesnel, Late Stuart, Stellako, Raft; and Late run: Late Shuswap, Cultus, Portage, Weaver and Birkenhead. Each diagram showing comparison among 37 model forecasts. The observations of 12-year returns were normalized as the reference point or observation (solid black cycle on the x-axis). The distance from the origin is the normalized standard deviation with the scale of 0-1.5 and normalized observation being 1. The angle describes the correlation between model and observation from 0 to 1. The dashed semi-circles around reference point on the x-axis illustrate the root-mean-square error. Models with negative correlations are not shown for each stock. The closer the model is to the reference point, the better predictive power the model has.</w:t>
      </w:r>
    </w:p>
    <w:p w14:paraId="2C34470B" w14:textId="77777777" w:rsidR="00225F14" w:rsidRDefault="00225F14"/>
    <w:p w14:paraId="242017C9" w14:textId="7E3D3D3A" w:rsidR="00225F14" w:rsidRDefault="00225F14"/>
    <w:p w14:paraId="3E10AF7A" w14:textId="1AEE0F92" w:rsidR="002779A4" w:rsidRDefault="00986D86" w:rsidP="002779A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9D81D65" wp14:editId="443C2AE3">
            <wp:extent cx="5943600" cy="5448300"/>
            <wp:effectExtent l="0" t="0" r="0" b="0"/>
            <wp:docPr id="10" name="Picture 10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box and whisker char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D3CDD" w14:textId="7EEA3CD3" w:rsidR="002779A4" w:rsidRDefault="00170EB9" w:rsidP="00170EB9">
      <w:r>
        <w:t>Figure 6. Comparisons among the 2022 forecast and the forecasts based on three top-ranked models based on either overall rank, standard deviation (</w:t>
      </w:r>
      <w:r w:rsidRPr="002779A4">
        <w:rPr>
          <w:i/>
          <w:iCs/>
        </w:rPr>
        <w:t>SD</w:t>
      </w:r>
      <w:r>
        <w:t>), and correlation (</w:t>
      </w:r>
      <w:r w:rsidRPr="002779A4">
        <w:rPr>
          <w:i/>
          <w:iCs/>
        </w:rPr>
        <w:t>R</w:t>
      </w:r>
      <w:r>
        <w:t xml:space="preserve">) or best root-mean-square error (RMSE) for three most abundant Fraser sockeye stocks, Chilko, Late Shuswap and Quesnel. Median forecast or 50 percentile (P50: solid black line) and forecast distribution (box: P25-P75, range: P10-P90) </w:t>
      </w:r>
      <w:r w:rsidR="00856DDE">
        <w:t>were</w:t>
      </w:r>
      <w:r>
        <w:t xml:space="preserve"> compared with the actual </w:t>
      </w:r>
      <w:commentRangeStart w:id="2"/>
      <w:r>
        <w:t xml:space="preserve">2022 returns </w:t>
      </w:r>
      <w:commentRangeEnd w:id="2"/>
      <w:r>
        <w:rPr>
          <w:rStyle w:val="CommentReference"/>
        </w:rPr>
        <w:commentReference w:id="2"/>
      </w:r>
      <w:r>
        <w:t xml:space="preserve">(PSC preliminary results). </w:t>
      </w:r>
      <w:r w:rsidR="002A1396">
        <w:t>*The Chilko forecast is using a RickerEi model for age4 fish only, coupled with Sibling model for age5.</w:t>
      </w:r>
    </w:p>
    <w:sectPr w:rsidR="002779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Fu, Caihong" w:date="2023-01-28T13:43:00Z" w:initials="FC">
    <w:p w14:paraId="7481A414" w14:textId="77777777" w:rsidR="00170EB9" w:rsidRDefault="00170EB9" w:rsidP="00170EB9">
      <w:pPr>
        <w:pStyle w:val="CommentText"/>
      </w:pPr>
      <w:r>
        <w:rPr>
          <w:rStyle w:val="CommentReference"/>
        </w:rPr>
        <w:annotationRef/>
      </w:r>
      <w:r>
        <w:t>Change legend to “Forecast vs Observation”</w:t>
      </w:r>
    </w:p>
  </w:comment>
  <w:comment w:id="1" w:author="Fu, Caihong" w:date="2023-01-24T10:59:00Z" w:initials="FC">
    <w:p w14:paraId="2B11A157" w14:textId="77777777" w:rsidR="00170EB9" w:rsidRDefault="00170EB9" w:rsidP="00170EB9">
      <w:pPr>
        <w:pStyle w:val="CommentText"/>
      </w:pPr>
      <w:r>
        <w:rPr>
          <w:rStyle w:val="CommentReference"/>
        </w:rPr>
        <w:annotationRef/>
      </w:r>
      <w:r>
        <w:t>Remove “Basic” from the model name for consistency with Table 1.</w:t>
      </w:r>
    </w:p>
  </w:comment>
  <w:comment w:id="2" w:author="Liu, Qi" w:date="2023-01-15T21:58:00Z" w:initials="LQ">
    <w:p w14:paraId="2B19328C" w14:textId="77777777" w:rsidR="00170EB9" w:rsidRDefault="00170EB9" w:rsidP="00170EB9">
      <w:pPr>
        <w:pStyle w:val="CommentText"/>
      </w:pPr>
      <w:r>
        <w:rPr>
          <w:rStyle w:val="CommentReference"/>
        </w:rPr>
        <w:annotationRef/>
      </w:r>
      <w:r>
        <w:t>Maybe change the label ‘observation’ to ‘2022 returns’.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481A414" w15:done="0"/>
  <w15:commentEx w15:paraId="2B11A157" w15:done="0"/>
  <w15:commentEx w15:paraId="2B19328C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7FA510" w16cex:dateUtc="2023-01-28T21:43:00Z"/>
  <w16cex:commentExtensible w16cex:durableId="277A3879" w16cex:dateUtc="2023-01-24T18:59:00Z"/>
  <w16cex:commentExtensible w16cex:durableId="276EF58A" w16cex:dateUtc="2023-01-16T05:5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481A414" w16cid:durableId="277FA510"/>
  <w16cid:commentId w16cid:paraId="2B11A157" w16cid:durableId="277A3879"/>
  <w16cid:commentId w16cid:paraId="2B19328C" w16cid:durableId="276EF58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4F21E7" w14:textId="77777777" w:rsidR="000719B0" w:rsidRDefault="000719B0" w:rsidP="002779A4">
      <w:pPr>
        <w:spacing w:after="0" w:line="240" w:lineRule="auto"/>
      </w:pPr>
      <w:r>
        <w:separator/>
      </w:r>
    </w:p>
  </w:endnote>
  <w:endnote w:type="continuationSeparator" w:id="0">
    <w:p w14:paraId="689F410D" w14:textId="77777777" w:rsidR="000719B0" w:rsidRDefault="000719B0" w:rsidP="002779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70BA04" w14:textId="77777777" w:rsidR="000719B0" w:rsidRDefault="000719B0" w:rsidP="002779A4">
      <w:pPr>
        <w:spacing w:after="0" w:line="240" w:lineRule="auto"/>
      </w:pPr>
      <w:r>
        <w:separator/>
      </w:r>
    </w:p>
  </w:footnote>
  <w:footnote w:type="continuationSeparator" w:id="0">
    <w:p w14:paraId="403467AE" w14:textId="77777777" w:rsidR="000719B0" w:rsidRDefault="000719B0" w:rsidP="002779A4">
      <w:pPr>
        <w:spacing w:after="0" w:line="240" w:lineRule="auto"/>
      </w:pPr>
      <w:r>
        <w:continuationSeparator/>
      </w:r>
    </w:p>
  </w:footnote>
</w:footnote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Fu, Caihong">
    <w15:presenceInfo w15:providerId="AD" w15:userId="S::Caihong.Fu@dfo-mpo.gc.ca::af4f083f-55b4-45ef-b3b0-6b237a9d3cb5"/>
  </w15:person>
  <w15:person w15:author="Liu, Qi">
    <w15:presenceInfo w15:providerId="AD" w15:userId="S::Qi.Liu@dfo-mpo.gc.ca::5177f87f-c4fb-4d9a-a2b8-fd3698fd0c9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B31"/>
    <w:rsid w:val="0003645D"/>
    <w:rsid w:val="000719B0"/>
    <w:rsid w:val="00170EB9"/>
    <w:rsid w:val="00225F14"/>
    <w:rsid w:val="0027290E"/>
    <w:rsid w:val="002779A4"/>
    <w:rsid w:val="002A1396"/>
    <w:rsid w:val="003305B3"/>
    <w:rsid w:val="00336C96"/>
    <w:rsid w:val="003629F2"/>
    <w:rsid w:val="00412AB9"/>
    <w:rsid w:val="005F3933"/>
    <w:rsid w:val="00660C6F"/>
    <w:rsid w:val="00797B31"/>
    <w:rsid w:val="00807002"/>
    <w:rsid w:val="00856DDE"/>
    <w:rsid w:val="009573CD"/>
    <w:rsid w:val="00986D86"/>
    <w:rsid w:val="00A751A1"/>
    <w:rsid w:val="00AB6996"/>
    <w:rsid w:val="00AD3CE1"/>
    <w:rsid w:val="00AD62AC"/>
    <w:rsid w:val="00BC7155"/>
    <w:rsid w:val="00CB44E0"/>
    <w:rsid w:val="00D874C6"/>
    <w:rsid w:val="00DC7AA2"/>
    <w:rsid w:val="00E00236"/>
    <w:rsid w:val="00E47766"/>
    <w:rsid w:val="00EF052B"/>
    <w:rsid w:val="00F63C41"/>
    <w:rsid w:val="00F71BDA"/>
    <w:rsid w:val="00FB3F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3F9282"/>
  <w15:chartTrackingRefBased/>
  <w15:docId w15:val="{D9351BAC-2945-412B-9FE4-D66F8FB7A0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7B31"/>
    <w:rPr>
      <w:lang w:val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3305B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305B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305B3"/>
    <w:rPr>
      <w:sz w:val="20"/>
      <w:szCs w:val="20"/>
      <w:lang w:val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microsoft.com/office/2018/08/relationships/commentsExtensible" Target="commentsExtensible.xml"/><Relationship Id="rId18" Type="http://schemas.microsoft.com/office/2011/relationships/people" Target="peop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microsoft.com/office/2016/09/relationships/commentsIds" Target="commentsIds.xm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microsoft.com/office/2011/relationships/commentsExtended" Target="commentsExtended.xml"/><Relationship Id="rId5" Type="http://schemas.openxmlformats.org/officeDocument/2006/relationships/endnotes" Target="endnotes.xml"/><Relationship Id="rId15" Type="http://schemas.openxmlformats.org/officeDocument/2006/relationships/image" Target="media/image6.png"/><Relationship Id="rId10" Type="http://schemas.openxmlformats.org/officeDocument/2006/relationships/comments" Target="comments.xml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Pages>7</Pages>
  <Words>542</Words>
  <Characters>3090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DFO MPO</Company>
  <LinksUpToDate>false</LinksUpToDate>
  <CharactersWithSpaces>3625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Fu, Caihong</dc:creator>
  <cp:keywords/>
  <dc:description/>
  <cp:lastModifiedBy>Xu, Yi</cp:lastModifiedBy>
  <cp:revision>7</cp:revision>
  <dcterms:created xsi:type="dcterms:W3CDTF">2023-02-01T22:16:00Z</dcterms:created>
  <dcterms:modified xsi:type="dcterms:W3CDTF">2023-02-02T05:26:00Z</dcterms:modified>
</cp:coreProperties>
</file>