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spacing w:before="0" w:after="100" w:line="240" w:lineRule="auto"/>
        <w:ind w:left="0" w:right="0"/>
        <w:keepNext/>
      </w:pPr>
      <w:r>
        <w:rPr>
          <w:rFonts w:ascii="Arial" w:hAnsi="Arial" w:eastAsia="Arial"/>
          <w:b w:val="0"/>
          <w:i w:val="0"/>
          <w:color w:val="0E4F6C"/>
          <w:sz w:val="36"/>
        </w:rPr>
        <w:t>Step by step guidelines for the full pathway</w:t>
      </w:r>
    </w:p>
    <w:tbl>
      <w:tblPr>
        <w:tblW w:type="auto" w:w="0"/>
        <w:jc w:val="center"/>
        <w:tblLook w:firstColumn="1" w:firstRow="1" w:lastColumn="0" w:lastRow="0" w:noHBand="0" w:noVBand="1" w:val="04A0"/>
      </w:tblPr>
      <w:tblGrid>
        <w:gridCol w:w="9360"/>
      </w:tblGrid>
      <w:tr>
        <w:tc>
          <w:tcPr>
            <w:tcW w:type="dxa" w:w="9360"/>
            <w:shd w:fill="1F5C99" w:val="clear"/>
            <w:tcMar>
              <w:top w:w="100" w:type="dxa"/>
              <w:start w:w="100" w:type="dxa"/>
              <w:bottom w:w="100" w:type="dxa"/>
              <w:end w:w="100" w:type="dxa"/>
            </w:tcMar>
          </w:tcPr>
          <w:p>
            <w:pPr>
              <w:spacing w:before="0" w:after="20" w:line="240" w:lineRule="auto"/>
              <w:ind w:left="0" w:right="0"/>
            </w:pPr>
            <w:r>
              <w:rPr>
                <w:rFonts w:ascii="Arial" w:hAnsi="Arial" w:eastAsia="Arial"/>
                <w:b/>
                <w:i w:val="0"/>
                <w:color w:val="FFFFFF"/>
                <w:sz w:val="26"/>
              </w:rPr>
              <w:t>PART 4: Testing and Reviewing</w:t>
            </w:r>
          </w:p>
          <w:p>
            <w:pPr>
              <w:spacing w:before="0" w:after="0" w:line="240" w:lineRule="auto"/>
              <w:ind w:left="0" w:right="0"/>
            </w:pPr>
            <w:r>
              <w:rPr>
                <w:rFonts w:ascii="Arial" w:hAnsi="Arial" w:eastAsia="Arial"/>
                <w:b w:val="0"/>
                <w:i w:val="0"/>
                <w:color w:val="FFFFFF"/>
                <w:sz w:val="16"/>
              </w:rPr>
              <w:t>45 min standard route | 60 min extended route | GenAI role(s): Optional evidence challenger and bias critic after independent student evidence</w:t>
            </w:r>
          </w:p>
        </w:tc>
      </w:tr>
    </w:tbl>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1.</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OVERVIEW</w:t>
            </w:r>
          </w:p>
        </w:tc>
      </w:tr>
    </w:tbl>
    <w:p>
      <w:pPr>
        <w:spacing w:before="0" w:after="60" w:line="240" w:lineRule="auto"/>
        <w:ind w:left="0" w:right="0"/>
      </w:pPr>
      <w:r>
        <w:rPr>
          <w:rFonts w:ascii="Arial" w:hAnsi="Arial" w:eastAsia="Arial"/>
          <w:b w:val="0"/>
          <w:i w:val="0"/>
          <w:color w:val="000000"/>
          <w:sz w:val="18"/>
        </w:rPr>
        <w:t>In Part 4, students stop building and become independent behavioural testers. Each testing group uses another group’s saved prototype and the Part 3 Test Brief without receiving a verbal explanation from the creators. Testers first record what the prototype actually does and only then interpret the evidence.</w:t>
      </w:r>
    </w:p>
    <w:p>
      <w:pPr>
        <w:spacing w:before="0" w:after="60" w:line="240" w:lineRule="auto"/>
        <w:ind w:left="0" w:right="0"/>
      </w:pPr>
      <w:r>
        <w:rPr>
          <w:rFonts w:ascii="Arial" w:hAnsi="Arial" w:eastAsia="Arial"/>
          <w:b w:val="0"/>
          <w:i w:val="0"/>
          <w:color w:val="000000"/>
          <w:sz w:val="18"/>
        </w:rPr>
        <w:t>Part 4 should be understood as an Independent Behavioural Test Lab. The learning focus is not technical construction and not immediate repair. It is the disciplined movement from test input to observable behaviour, from evidence to review, and from review to one specific decision that Part 5 can act on.</w:t>
      </w:r>
    </w:p>
    <w:p>
      <w:pPr>
        <w:spacing w:before="0" w:after="60" w:line="240" w:lineRule="auto"/>
        <w:ind w:left="0" w:right="0"/>
      </w:pPr>
      <w:r>
        <w:rPr>
          <w:rFonts w:ascii="Arial" w:hAnsi="Arial" w:eastAsia="Arial"/>
          <w:b w:val="0"/>
          <w:i w:val="0"/>
          <w:color w:val="000000"/>
          <w:sz w:val="18"/>
        </w:rPr>
        <w:t>The canonical evidence cycle is: receive the prototype and Test Brief → run four safe test missions → record observable behaviour → review clarity, usefulness, fallback, limitation/safety, possible bias and the Part 1 principle → return the record → creators make one evidence-based Part 5 Review Decision.</w:t>
      </w:r>
    </w:p>
    <w:p>
      <w:pPr>
        <w:spacing w:before="0" w:after="60" w:line="240" w:lineRule="auto"/>
        <w:ind w:left="0" w:right="0"/>
      </w:pPr>
      <w:r>
        <w:rPr>
          <w:rFonts w:ascii="Arial" w:hAnsi="Arial" w:eastAsia="Arial"/>
          <w:b w:val="0"/>
          <w:i w:val="0"/>
          <w:color w:val="000000"/>
          <w:sz w:val="18"/>
        </w:rPr>
        <w:t>Part 4 ends with a decision, not a change. Students do not rewrite responses, edit Scratch blocks, alter cards, change the Prompt Capsule, perform a matched verification test or complete the final communication and reflection. Refinement, verification, communication and final reflection belong to Part 5.</w:t>
      </w:r>
    </w:p>
    <w:p>
      <w:pPr>
        <w:spacing w:before="0" w:after="60" w:line="240" w:lineRule="auto"/>
        <w:ind w:left="0" w:right="0"/>
      </w:pPr>
      <w:r>
        <w:rPr>
          <w:rFonts w:ascii="Arial" w:hAnsi="Arial" w:eastAsia="Arial"/>
          <w:b w:val="0"/>
          <w:i w:val="0"/>
          <w:color w:val="000000"/>
          <w:sz w:val="18"/>
        </w:rPr>
        <w:t>The standard route is one realistic 45-minute lesson. It assumes that the prototype and Part 3 Test Brief are accessible before the lesson begins and that groups are paired in advance. A 60-minute route provides additional review time, an optional human-first GenAI challenge and a short debrief. No 25-minute route is recommended because it would not protect all four tests and the creator decision.</w:t>
      </w:r>
    </w:p>
    <w:p>
      <w:pPr>
        <w:spacing w:before="0" w:after="60" w:line="240" w:lineRule="auto"/>
        <w:ind w:left="0" w:right="0"/>
      </w:pPr>
      <w:r>
        <w:rPr>
          <w:rFonts w:ascii="Arial" w:hAnsi="Arial" w:eastAsia="Arial"/>
          <w:b w:val="0"/>
          <w:i w:val="0"/>
          <w:color w:val="000000"/>
          <w:sz w:val="18"/>
        </w:rPr>
        <w:t>Scratch remains the default route. A school-approved GenAI setup and a complete paper prototype are also supported when the Part 3 conditions have been met. All routes use the same evidence record and learning outcome, although the way testers operate the prototype differs.</w:t>
      </w:r>
    </w:p>
    <w:tbl>
      <w:tblPr>
        <w:tblW w:type="auto" w:w="0"/>
        <w:jc w:val="center"/>
        <w:tblLook w:firstColumn="1" w:firstRow="1" w:lastColumn="0" w:lastRow="0" w:noHBand="0" w:noVBand="1" w:val="04A0"/>
      </w:tblPr>
      <w:tblGrid>
        <w:gridCol w:w="9360"/>
      </w:tblGrid>
      <w:tr>
        <w:trPr>
          <w:cantSplit/>
        </w:trPr>
        <w:tc>
          <w:tcPr>
            <w:tcW w:type="dxa" w:w="9360"/>
            <w:shd w:fill="DDEBF7" w:val="clear"/>
            <w:tcMar>
              <w:top w:w="85" w:type="dxa"/>
              <w:start w:w="100" w:type="dxa"/>
              <w:bottom w:w="85" w:type="dxa"/>
              <w:end w:w="100" w:type="dxa"/>
            </w:tcMar>
            <w:tcBorders>
              <w:top w:val="single" w:sz="5" w:color="9FBAD0"/>
              <w:left w:val="single" w:sz="5" w:color="9FBAD0"/>
              <w:bottom w:val="single" w:sz="5" w:color="9FBAD0"/>
              <w:right w:val="single" w:sz="5" w:color="9FBAD0"/>
            </w:tcBorders>
          </w:tcPr>
          <w:p>
            <w:pPr>
              <w:spacing w:before="0" w:after="20" w:line="240" w:lineRule="auto"/>
              <w:ind w:left="0" w:right="0"/>
            </w:pPr>
            <w:r>
              <w:rPr>
                <w:rFonts w:ascii="Arial" w:hAnsi="Arial" w:eastAsia="Arial"/>
                <w:b/>
                <w:i w:val="0"/>
                <w:color w:val="0E4F6C"/>
                <w:sz w:val="17"/>
              </w:rPr>
              <w:t>Full Pathway position</w:t>
            </w:r>
          </w:p>
          <w:p>
            <w:pPr>
              <w:spacing w:before="0" w:after="0" w:line="240" w:lineRule="auto"/>
              <w:ind w:left="0" w:right="0"/>
            </w:pPr>
            <w:r>
              <w:rPr>
                <w:rFonts w:ascii="Arial" w:hAnsi="Arial" w:eastAsia="Arial"/>
                <w:b w:val="0"/>
                <w:i w:val="0"/>
                <w:color w:val="000000"/>
                <w:sz w:val="17"/>
              </w:rPr>
              <w:t>Part 1 evidence and principle → Part 2 visible design requirement and future test idea → Part 3 implementation and technical smoke check → Part 4 independent behavioural testing and evidence-based review → Part 5 refinement, verification, communication and reflection.</w:t>
            </w:r>
          </w:p>
        </w:tc>
      </w:tr>
    </w:tbl>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2.</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EXPECTED STUDENT OUTPUT</w:t>
            </w:r>
          </w:p>
        </w:tc>
      </w:tr>
    </w:tbl>
    <w:p>
      <w:pPr>
        <w:spacing w:before="0" w:after="60" w:line="240" w:lineRule="auto"/>
        <w:ind w:left="0" w:right="0"/>
      </w:pPr>
      <w:r>
        <w:rPr>
          <w:rFonts w:ascii="Arial" w:hAnsi="Arial" w:eastAsia="Arial"/>
          <w:b w:val="0"/>
          <w:i w:val="0"/>
          <w:color w:val="000000"/>
          <w:sz w:val="18"/>
        </w:rPr>
        <w:t>By the end of this part, each creator group should have received or produced:</w:t>
      </w:r>
    </w:p>
    <w:p>
      <w:pPr>
        <w:pStyle w:val="a7"/>
        <w:spacing w:before="0" w:after="24" w:line="240" w:lineRule="auto"/>
        <w:ind w:left="0" w:right="0"/>
      </w:pPr>
      <w:r>
        <w:rPr>
          <w:rFonts w:ascii="Arial" w:hAnsi="Arial" w:eastAsia="Arial"/>
          <w:b/>
          <w:i w:val="0"/>
          <w:color w:val="000000"/>
          <w:sz w:val="17"/>
        </w:rPr>
        <w:t xml:space="preserve">1. </w:t>
      </w:r>
      <w:r>
        <w:rPr>
          <w:rFonts w:ascii="Arial" w:hAnsi="Arial" w:eastAsia="Arial"/>
          <w:b w:val="0"/>
          <w:i w:val="0"/>
          <w:color w:val="000000"/>
          <w:sz w:val="17"/>
        </w:rPr>
        <w:t>one independently completed test cycle conducted by students who did not build the prototype;</w:t>
      </w:r>
    </w:p>
    <w:p>
      <w:pPr>
        <w:pStyle w:val="a7"/>
        <w:spacing w:before="0" w:after="24" w:line="240" w:lineRule="auto"/>
        <w:ind w:left="0" w:right="0"/>
      </w:pPr>
      <w:r>
        <w:rPr>
          <w:rFonts w:ascii="Arial" w:hAnsi="Arial" w:eastAsia="Arial"/>
          <w:b/>
          <w:i w:val="0"/>
          <w:color w:val="000000"/>
          <w:sz w:val="17"/>
        </w:rPr>
        <w:t xml:space="preserve">2. </w:t>
      </w:r>
      <w:r>
        <w:rPr>
          <w:rFonts w:ascii="Arial" w:hAnsi="Arial" w:eastAsia="Arial"/>
          <w:b w:val="0"/>
          <w:i w:val="0"/>
          <w:color w:val="000000"/>
          <w:sz w:val="17"/>
        </w:rPr>
        <w:t>four evidence records: Part 1 Principle-Specific Test, Supported / Expected-Use Test, Unclear-Input / Fallback Test, and Outside-Scope / Limitation-Safety Test;</w:t>
      </w:r>
    </w:p>
    <w:p>
      <w:pPr>
        <w:pStyle w:val="a7"/>
        <w:spacing w:before="0" w:after="24" w:line="240" w:lineRule="auto"/>
        <w:ind w:left="0" w:right="0"/>
      </w:pPr>
      <w:r>
        <w:rPr>
          <w:rFonts w:ascii="Arial" w:hAnsi="Arial" w:eastAsia="Arial"/>
          <w:b/>
          <w:i w:val="0"/>
          <w:color w:val="000000"/>
          <w:sz w:val="17"/>
        </w:rPr>
        <w:t xml:space="preserve">3. </w:t>
      </w:r>
      <w:r>
        <w:rPr>
          <w:rFonts w:ascii="Arial" w:hAnsi="Arial" w:eastAsia="Arial"/>
          <w:b w:val="0"/>
          <w:i w:val="0"/>
          <w:color w:val="000000"/>
          <w:sz w:val="17"/>
        </w:rPr>
        <w:t>the exact input and observable prototype behaviour for every completed test, or a precise Blocked status;</w:t>
      </w:r>
    </w:p>
    <w:p>
      <w:pPr>
        <w:pStyle w:val="a7"/>
        <w:spacing w:before="0" w:after="24" w:line="240" w:lineRule="auto"/>
        <w:ind w:left="0" w:right="0"/>
      </w:pPr>
      <w:r>
        <w:rPr>
          <w:rFonts w:ascii="Arial" w:hAnsi="Arial" w:eastAsia="Arial"/>
          <w:b/>
          <w:i w:val="0"/>
          <w:color w:val="000000"/>
          <w:sz w:val="17"/>
        </w:rPr>
        <w:t xml:space="preserve">4. </w:t>
      </w:r>
      <w:r>
        <w:rPr>
          <w:rFonts w:ascii="Arial" w:hAnsi="Arial" w:eastAsia="Arial"/>
          <w:b w:val="0"/>
          <w:i w:val="0"/>
          <w:color w:val="000000"/>
          <w:sz w:val="17"/>
        </w:rPr>
        <w:t>one evidence-linked review of expected behaviour, clarity, usefulness, fallback/recovery, limitation/safety, possible unfairness or bias, and the Part 1 principle;</w:t>
      </w:r>
    </w:p>
    <w:p>
      <w:pPr>
        <w:pStyle w:val="a7"/>
        <w:spacing w:before="0" w:after="24" w:line="240" w:lineRule="auto"/>
        <w:ind w:left="0" w:right="0"/>
      </w:pPr>
      <w:r>
        <w:rPr>
          <w:rFonts w:ascii="Arial" w:hAnsi="Arial" w:eastAsia="Arial"/>
          <w:b/>
          <w:i w:val="0"/>
          <w:color w:val="000000"/>
          <w:sz w:val="17"/>
        </w:rPr>
        <w:t xml:space="preserve">5. </w:t>
      </w:r>
      <w:r>
        <w:rPr>
          <w:rFonts w:ascii="Arial" w:hAnsi="Arial" w:eastAsia="Arial"/>
          <w:b w:val="0"/>
          <w:i w:val="0"/>
          <w:color w:val="000000"/>
          <w:sz w:val="17"/>
        </w:rPr>
        <w:t>one Verified Strength and one Priority Review Finding;</w:t>
      </w:r>
    </w:p>
    <w:p>
      <w:pPr>
        <w:pStyle w:val="a7"/>
        <w:spacing w:before="0" w:after="24" w:line="240" w:lineRule="auto"/>
        <w:ind w:left="0" w:right="0"/>
      </w:pPr>
      <w:r>
        <w:rPr>
          <w:rFonts w:ascii="Arial" w:hAnsi="Arial" w:eastAsia="Arial"/>
          <w:b/>
          <w:i w:val="0"/>
          <w:color w:val="000000"/>
          <w:sz w:val="17"/>
        </w:rPr>
        <w:t xml:space="preserve">6. </w:t>
      </w:r>
      <w:r>
        <w:rPr>
          <w:rFonts w:ascii="Arial" w:hAnsi="Arial" w:eastAsia="Arial"/>
          <w:b w:val="0"/>
          <w:i w:val="0"/>
          <w:color w:val="000000"/>
          <w:sz w:val="17"/>
        </w:rPr>
        <w:t>one creator comparison with the expected observable behaviour recorded in the Part 3 Test Brief;</w:t>
      </w:r>
    </w:p>
    <w:p>
      <w:pPr>
        <w:pStyle w:val="a7"/>
        <w:spacing w:before="0" w:after="24" w:line="240" w:lineRule="auto"/>
        <w:ind w:left="0" w:right="0"/>
      </w:pPr>
      <w:r>
        <w:rPr>
          <w:rFonts w:ascii="Arial" w:hAnsi="Arial" w:eastAsia="Arial"/>
          <w:b/>
          <w:i w:val="0"/>
          <w:color w:val="000000"/>
          <w:sz w:val="17"/>
        </w:rPr>
        <w:t xml:space="preserve">7. </w:t>
      </w:r>
      <w:r>
        <w:rPr>
          <w:rFonts w:ascii="Arial" w:hAnsi="Arial" w:eastAsia="Arial"/>
          <w:b w:val="0"/>
          <w:i w:val="0"/>
          <w:color w:val="000000"/>
          <w:sz w:val="17"/>
        </w:rPr>
        <w:t>one Part 5 Review Decision: Improve in Part 5 or Keep as designed;</w:t>
      </w:r>
    </w:p>
    <w:p>
      <w:pPr>
        <w:pStyle w:val="a7"/>
        <w:spacing w:before="0" w:after="24" w:line="240" w:lineRule="auto"/>
        <w:ind w:left="0" w:right="0"/>
      </w:pPr>
      <w:r>
        <w:rPr>
          <w:rFonts w:ascii="Arial" w:hAnsi="Arial" w:eastAsia="Arial"/>
          <w:b/>
          <w:i w:val="0"/>
          <w:color w:val="000000"/>
          <w:sz w:val="17"/>
        </w:rPr>
        <w:t xml:space="preserve">8. </w:t>
      </w:r>
      <w:r>
        <w:rPr>
          <w:rFonts w:ascii="Arial" w:hAnsi="Arial" w:eastAsia="Arial"/>
          <w:b w:val="0"/>
          <w:i w:val="0"/>
          <w:color w:val="000000"/>
          <w:sz w:val="17"/>
        </w:rPr>
        <w:t>one evidence reference that justifies the decision;</w:t>
      </w:r>
    </w:p>
    <w:p>
      <w:pPr>
        <w:pStyle w:val="a7"/>
        <w:spacing w:before="0" w:after="24" w:line="240" w:lineRule="auto"/>
        <w:ind w:left="0" w:right="0"/>
      </w:pPr>
      <w:r>
        <w:rPr>
          <w:rFonts w:ascii="Arial" w:hAnsi="Arial" w:eastAsia="Arial"/>
          <w:b/>
          <w:i w:val="0"/>
          <w:color w:val="000000"/>
          <w:sz w:val="17"/>
        </w:rPr>
        <w:t xml:space="preserve">9. </w:t>
      </w:r>
      <w:r>
        <w:rPr>
          <w:rFonts w:ascii="Arial" w:hAnsi="Arial" w:eastAsia="Arial"/>
          <w:b w:val="0"/>
          <w:i w:val="0"/>
          <w:color w:val="000000"/>
          <w:sz w:val="17"/>
        </w:rPr>
        <w:t>one exact input reserved for verification in Part 5; and</w:t>
      </w:r>
    </w:p>
    <w:p>
      <w:pPr>
        <w:pStyle w:val="a7"/>
        <w:spacing w:before="0" w:after="24" w:line="240" w:lineRule="auto"/>
        <w:ind w:left="0" w:right="0"/>
      </w:pPr>
      <w:r>
        <w:rPr>
          <w:rFonts w:ascii="Arial" w:hAnsi="Arial" w:eastAsia="Arial"/>
          <w:b/>
          <w:i w:val="0"/>
          <w:color w:val="000000"/>
          <w:sz w:val="17"/>
        </w:rPr>
        <w:t xml:space="preserve">10. </w:t>
      </w:r>
      <w:r>
        <w:rPr>
          <w:rFonts w:ascii="Arial" w:hAnsi="Arial" w:eastAsia="Arial"/>
          <w:b w:val="0"/>
          <w:i w:val="0"/>
          <w:color w:val="000000"/>
          <w:sz w:val="17"/>
        </w:rPr>
        <w:t>one completed privacy, safety and handover check.</w:t>
      </w:r>
    </w:p>
    <w:p>
      <w:pPr>
        <w:pStyle w:val="4"/>
        <w:spacing w:before="80" w:after="60" w:line="240" w:lineRule="auto"/>
        <w:ind w:left="0" w:right="0"/>
        <w:keepNext/>
      </w:pPr>
      <w:r>
        <w:rPr>
          <w:rFonts w:ascii="Arial" w:hAnsi="Arial" w:eastAsia="Arial"/>
          <w:b/>
          <w:i w:val="0"/>
          <w:color w:val="0E4F6C"/>
          <w:sz w:val="20"/>
        </w:rPr>
        <w:t>Minimum expectation</w:t>
      </w:r>
    </w:p>
    <w:p>
      <w:pPr>
        <w:spacing w:before="0" w:after="60" w:line="240" w:lineRule="auto"/>
        <w:ind w:left="0" w:right="0"/>
      </w:pPr>
      <w:r>
        <w:rPr>
          <w:rFonts w:ascii="Arial" w:hAnsi="Arial" w:eastAsia="Arial"/>
          <w:b w:val="0"/>
          <w:i w:val="0"/>
          <w:color w:val="000000"/>
          <w:sz w:val="17"/>
        </w:rPr>
        <w:t>The protected minimum is not a large checklist and not a repaired chatbot. It is a complete evidence chain: four independent tests → recorded behaviour → one strength and one priority finding → one justified Part 5 decision → one reserved verification input.</w:t>
      </w:r>
    </w:p>
    <w:p>
      <w:pPr>
        <w:pStyle w:val="a7"/>
        <w:spacing w:before="0" w:after="30" w:line="240" w:lineRule="auto"/>
        <w:ind w:left="0" w:right="0"/>
      </w:pPr>
      <w:r>
        <w:rPr>
          <w:rFonts w:ascii="Arial" w:hAnsi="Arial" w:eastAsia="Arial"/>
          <w:b/>
          <w:i w:val="0"/>
          <w:color w:val="000000"/>
          <w:sz w:val="17"/>
        </w:rPr>
        <w:t xml:space="preserve">• </w:t>
      </w:r>
      <w:r>
        <w:rPr>
          <w:rFonts w:ascii="Arial" w:hAnsi="Arial" w:eastAsia="Arial"/>
          <w:b w:val="0"/>
          <w:i w:val="0"/>
          <w:color w:val="000000"/>
          <w:sz w:val="17"/>
        </w:rPr>
        <w:t>the four test missions are all completed or one precise technical block is recorded;</w:t>
      </w:r>
    </w:p>
    <w:p>
      <w:pPr>
        <w:pStyle w:val="a7"/>
        <w:spacing w:before="0" w:after="30" w:line="240" w:lineRule="auto"/>
        <w:ind w:left="0" w:right="0"/>
      </w:pPr>
      <w:r>
        <w:rPr>
          <w:rFonts w:ascii="Arial" w:hAnsi="Arial" w:eastAsia="Arial"/>
          <w:b/>
          <w:i w:val="0"/>
          <w:color w:val="000000"/>
          <w:sz w:val="17"/>
        </w:rPr>
        <w:t xml:space="preserve">• </w:t>
      </w:r>
      <w:r>
        <w:rPr>
          <w:rFonts w:ascii="Arial" w:hAnsi="Arial" w:eastAsia="Arial"/>
          <w:b w:val="0"/>
          <w:i w:val="0"/>
          <w:color w:val="000000"/>
          <w:sz w:val="17"/>
        </w:rPr>
        <w:t>testers write what happened before selecting a judgement;</w:t>
      </w:r>
    </w:p>
    <w:p>
      <w:pPr>
        <w:pStyle w:val="a7"/>
        <w:spacing w:before="0" w:after="30" w:line="240" w:lineRule="auto"/>
        <w:ind w:left="0" w:right="0"/>
      </w:pPr>
      <w:r>
        <w:rPr>
          <w:rFonts w:ascii="Arial" w:hAnsi="Arial" w:eastAsia="Arial"/>
          <w:b/>
          <w:i w:val="0"/>
          <w:color w:val="000000"/>
          <w:sz w:val="17"/>
        </w:rPr>
        <w:t xml:space="preserve">• </w:t>
      </w:r>
      <w:r>
        <w:rPr>
          <w:rFonts w:ascii="Arial" w:hAnsi="Arial" w:eastAsia="Arial"/>
          <w:b w:val="0"/>
          <w:i w:val="0"/>
          <w:color w:val="000000"/>
          <w:sz w:val="17"/>
        </w:rPr>
        <w:t>every review claim points to the relevant test mission;</w:t>
      </w:r>
    </w:p>
    <w:p>
      <w:pPr>
        <w:pStyle w:val="a7"/>
        <w:spacing w:before="0" w:after="30" w:line="240" w:lineRule="auto"/>
        <w:ind w:left="0" w:right="0"/>
      </w:pPr>
      <w:r>
        <w:rPr>
          <w:rFonts w:ascii="Arial" w:hAnsi="Arial" w:eastAsia="Arial"/>
          <w:b/>
          <w:i w:val="0"/>
          <w:color w:val="000000"/>
          <w:sz w:val="17"/>
        </w:rPr>
        <w:t xml:space="preserve">• </w:t>
      </w:r>
      <w:r>
        <w:rPr>
          <w:rFonts w:ascii="Arial" w:hAnsi="Arial" w:eastAsia="Arial"/>
          <w:b w:val="0"/>
          <w:i w:val="0"/>
          <w:color w:val="000000"/>
          <w:sz w:val="17"/>
        </w:rPr>
        <w:t>creators choose Improve or Keep without editing the prototype;</w:t>
      </w:r>
    </w:p>
    <w:p>
      <w:pPr>
        <w:pStyle w:val="a7"/>
        <w:spacing w:before="0" w:after="30" w:line="240" w:lineRule="auto"/>
        <w:ind w:left="0" w:right="0"/>
      </w:pPr>
      <w:r>
        <w:rPr>
          <w:rFonts w:ascii="Arial" w:hAnsi="Arial" w:eastAsia="Arial"/>
          <w:b/>
          <w:i w:val="0"/>
          <w:color w:val="000000"/>
          <w:sz w:val="17"/>
        </w:rPr>
        <w:t xml:space="preserve">• </w:t>
      </w:r>
      <w:r>
        <w:rPr>
          <w:rFonts w:ascii="Arial" w:hAnsi="Arial" w:eastAsia="Arial"/>
          <w:b w:val="0"/>
          <w:i w:val="0"/>
          <w:color w:val="000000"/>
          <w:sz w:val="17"/>
        </w:rPr>
        <w:t>the Part 5 handover is complete.</w:t>
      </w:r>
    </w:p>
    <w:tbl>
      <w:tblPr>
        <w:tblW w:type="auto" w:w="0"/>
        <w:jc w:val="center"/>
        <w:tblLook w:firstColumn="1" w:firstRow="1" w:lastColumn="0" w:lastRow="0" w:noHBand="0" w:noVBand="1" w:val="04A0"/>
      </w:tblPr>
      <w:tblGrid>
        <w:gridCol w:w="9360"/>
      </w:tblGrid>
      <w:tr>
        <w:trPr>
          <w:cantSplit/>
        </w:trPr>
        <w:tc>
          <w:tcPr>
            <w:tcW w:type="dxa" w:w="9360"/>
            <w:shd w:fill="FFF2CC" w:val="clear"/>
            <w:tcMar>
              <w:top w:w="85" w:type="dxa"/>
              <w:start w:w="100" w:type="dxa"/>
              <w:bottom w:w="85" w:type="dxa"/>
              <w:end w:w="100" w:type="dxa"/>
            </w:tcMar>
            <w:tcBorders>
              <w:top w:val="single" w:sz="5" w:color="9FBAD0"/>
              <w:left w:val="single" w:sz="5" w:color="9FBAD0"/>
              <w:bottom w:val="single" w:sz="5" w:color="9FBAD0"/>
              <w:right w:val="single" w:sz="5" w:color="9FBAD0"/>
            </w:tcBorders>
          </w:tcPr>
          <w:p>
            <w:pPr>
              <w:spacing w:before="0" w:after="20" w:line="240" w:lineRule="auto"/>
              <w:ind w:left="0" w:right="0"/>
            </w:pPr>
            <w:r>
              <w:rPr>
                <w:rFonts w:ascii="Arial" w:hAnsi="Arial" w:eastAsia="Arial"/>
                <w:b/>
                <w:i w:val="0"/>
                <w:color w:val="0E4F6C"/>
                <w:sz w:val="17"/>
              </w:rPr>
              <w:t>Part 4 stop rule</w:t>
            </w:r>
          </w:p>
          <w:p>
            <w:pPr>
              <w:spacing w:before="0" w:after="0" w:line="240" w:lineRule="auto"/>
              <w:ind w:left="0" w:right="0"/>
            </w:pPr>
            <w:r>
              <w:rPr>
                <w:rFonts w:ascii="Arial" w:hAnsi="Arial" w:eastAsia="Arial"/>
                <w:b w:val="0"/>
                <w:i w:val="0"/>
                <w:color w:val="000000"/>
                <w:sz w:val="17"/>
              </w:rPr>
              <w:t>STOP AFTER THE REVIEW DECISION. Do not repair, rewrite, rebuild or verify a changed prototype in Part 4. Part 5 will act on the recorded evidence.</w:t>
            </w:r>
          </w:p>
        </w:tc>
      </w:tr>
    </w:tbl>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3.</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KEY TEACHING MOVES / IMPLEMENTATION STEPS</w:t>
            </w:r>
          </w:p>
        </w:tc>
      </w:tr>
    </w:tbl>
    <w:p>
      <w:pPr>
        <w:pStyle w:val="4"/>
        <w:spacing w:before="80" w:after="60" w:line="240" w:lineRule="auto"/>
        <w:ind w:left="0" w:right="0"/>
        <w:keepNext/>
      </w:pPr>
      <w:r>
        <w:rPr>
          <w:rFonts w:ascii="Arial" w:hAnsi="Arial" w:eastAsia="Arial"/>
          <w:b/>
          <w:i w:val="0"/>
          <w:color w:val="0E4F6C"/>
          <w:sz w:val="20"/>
        </w:rPr>
        <w:t>Implementation notes</w:t>
      </w:r>
    </w:p>
    <w:p>
      <w:pPr>
        <w:spacing w:before="0" w:after="60" w:line="240" w:lineRule="auto"/>
        <w:ind w:left="0" w:right="0"/>
      </w:pPr>
      <w:r>
        <w:rPr>
          <w:rFonts w:ascii="Arial" w:hAnsi="Arial" w:eastAsia="Arial"/>
          <w:b w:val="0"/>
          <w:i w:val="0"/>
          <w:color w:val="000000"/>
          <w:sz w:val="17"/>
        </w:rPr>
        <w:t>Part 4 uses one common evidence protocol for all routes. The creators prepare access and then step back. Testers use the prototype and the Part 3 Test Brief independently. The teacher protects the distinction between observable evidence and judgement throughout the lesson.</w:t>
      </w:r>
    </w:p>
    <w:p>
      <w:pPr>
        <w:spacing w:before="0" w:after="60" w:line="240" w:lineRule="auto"/>
        <w:ind w:left="0" w:right="0"/>
      </w:pPr>
      <w:r>
        <w:rPr>
          <w:rFonts w:ascii="Arial" w:hAnsi="Arial" w:eastAsia="Arial"/>
          <w:b w:val="0"/>
          <w:i w:val="0"/>
          <w:color w:val="000000"/>
          <w:sz w:val="17"/>
        </w:rPr>
        <w:t>The Part 3 Test Brief is the authoritative handover. Do not create a second handover card or recopy the full blueprint. The Part 4 Independent Test and Review Record identifies the prototype and records new test evidence; it does not become a competing version of the Part 3 design.</w:t>
      </w:r>
    </w:p>
    <w:p>
      <w:pPr>
        <w:spacing w:before="0" w:after="60" w:line="240" w:lineRule="auto"/>
        <w:ind w:left="0" w:right="0"/>
      </w:pPr>
      <w:r>
        <w:rPr>
          <w:rFonts w:ascii="Arial" w:hAnsi="Arial" w:eastAsia="Arial"/>
          <w:b w:val="0"/>
          <w:i w:val="0"/>
          <w:color w:val="000000"/>
          <w:sz w:val="17"/>
        </w:rPr>
        <w:t>A safe test is allowed to reveal a weakness, but students are not asked to attack, trick or bypass the chatbot. Inputs remain fictional, non-personal, non-sensitive, school-appropriate and connected to the stated interface or scope.</w:t>
      </w:r>
    </w:p>
    <w:p>
      <w:pPr>
        <w:spacing w:before="0" w:after="60" w:line="240" w:lineRule="auto"/>
        <w:ind w:left="0" w:right="0"/>
      </w:pPr>
      <w:r>
        <w:rPr>
          <w:rFonts w:ascii="Arial" w:hAnsi="Arial" w:eastAsia="Arial"/>
          <w:b w:val="0"/>
          <w:i w:val="0"/>
          <w:color w:val="000000"/>
          <w:sz w:val="17"/>
        </w:rPr>
        <w:t>Testers may describe what the prototype did and why that matters. They do not prescribe a rewrite. Creators retain responsibility for the Part 5 Review Decision and later refinement.</w:t>
      </w:r>
    </w:p>
    <w:p>
      <w:pPr>
        <w:spacing w:before="0" w:after="60" w:line="240" w:lineRule="auto"/>
        <w:ind w:left="0" w:right="0"/>
      </w:pPr>
      <w:r>
        <w:rPr>
          <w:rFonts w:ascii="Arial" w:hAnsi="Arial" w:eastAsia="Arial"/>
          <w:b w:val="0"/>
          <w:i w:val="0"/>
          <w:color w:val="000000"/>
          <w:sz w:val="17"/>
        </w:rPr>
        <w:t>Technical access problems are handled as access recovery, not student rebuilding. The teacher may reopen the file or restart the approved environment. After the Part 3 handover, use a paper backup only if it was completed and verified against the same prototype state before Part 4 and its identity is recorded with the Part 3 Test Brief. Otherwise record the affected test as Blocked and select RETEST NEEDED before refinement. A content or logic repair is not made during Part 4.</w:t>
      </w:r>
    </w:p>
    <w:tbl>
      <w:tblPr>
        <w:tblW w:type="auto" w:w="0"/>
        <w:jc w:val="center"/>
        <w:tblLook w:firstColumn="1" w:firstRow="1" w:lastColumn="0" w:lastRow="0" w:noHBand="0" w:noVBand="1" w:val="04A0"/>
      </w:tblPr>
      <w:tblGrid>
        <w:gridCol w:w="9360"/>
      </w:tblGrid>
      <w:tr>
        <w:trPr>
          <w:cantSplit/>
        </w:trPr>
        <w:tc>
          <w:tcPr>
            <w:tcW w:type="dxa" w:w="9360"/>
            <w:shd w:fill="FFF2CC" w:val="clear"/>
            <w:tcMar>
              <w:top w:w="85" w:type="dxa"/>
              <w:start w:w="100" w:type="dxa"/>
              <w:bottom w:w="85" w:type="dxa"/>
              <w:end w:w="100" w:type="dxa"/>
            </w:tcMar>
            <w:tcBorders>
              <w:top w:val="single" w:sz="5" w:color="9FBAD0"/>
              <w:left w:val="single" w:sz="5" w:color="9FBAD0"/>
              <w:bottom w:val="single" w:sz="5" w:color="9FBAD0"/>
              <w:right w:val="single" w:sz="5" w:color="9FBAD0"/>
            </w:tcBorders>
          </w:tcPr>
          <w:p>
            <w:pPr>
              <w:spacing w:before="0" w:after="20" w:line="240" w:lineRule="auto"/>
              <w:ind w:left="0" w:right="0"/>
            </w:pPr>
            <w:r>
              <w:rPr>
                <w:rFonts w:ascii="Arial" w:hAnsi="Arial" w:eastAsia="Arial"/>
                <w:b/>
                <w:i w:val="0"/>
                <w:color w:val="0E4F6C"/>
                <w:sz w:val="17"/>
              </w:rPr>
              <w:t>Student-facing evidence rule</w:t>
            </w:r>
          </w:p>
          <w:p>
            <w:pPr>
              <w:spacing w:before="0" w:after="0" w:line="240" w:lineRule="auto"/>
              <w:ind w:left="0" w:right="0"/>
            </w:pPr>
            <w:r>
              <w:rPr>
                <w:rFonts w:ascii="Arial" w:hAnsi="Arial" w:eastAsia="Arial"/>
                <w:b w:val="0"/>
                <w:i w:val="0"/>
                <w:color w:val="000000"/>
                <w:sz w:val="17"/>
              </w:rPr>
              <w:t>RECORD WHAT HAPPENED BEFORE YOU JUDGE IT. Use the exact input. Describe the visible response or route. Then connect your review to the relevant test mission.</w:t>
            </w:r>
          </w:p>
        </w:tc>
      </w:tr>
    </w:tbl>
    <w:p>
      <w:pPr>
        <w:pStyle w:val="4"/>
        <w:spacing w:before="80" w:after="60" w:line="240" w:lineRule="auto"/>
        <w:ind w:left="0" w:right="0"/>
        <w:keepNext/>
      </w:pPr>
      <w:r>
        <w:rPr>
          <w:rFonts w:ascii="Arial" w:hAnsi="Arial" w:eastAsia="Arial"/>
          <w:b/>
          <w:i w:val="0"/>
          <w:color w:val="0E4F6C"/>
          <w:sz w:val="20"/>
        </w:rPr>
        <w:t>Material Reference Map</w:t>
      </w:r>
    </w:p>
    <w:p>
      <w:pPr>
        <w:spacing w:before="0" w:after="60" w:line="240" w:lineRule="auto"/>
        <w:ind w:left="0" w:right="0"/>
      </w:pPr>
      <w:r>
        <w:rPr>
          <w:rFonts w:ascii="Arial" w:hAnsi="Arial" w:eastAsia="Arial"/>
          <w:b w:val="0"/>
          <w:i w:val="0"/>
          <w:color w:val="000000"/>
          <w:sz w:val="17"/>
        </w:rPr>
        <w:t>The Teacher Guide is the main implementation document. The shorter files below support specific classroom moves and should not be opened as parallel lesson plans.</w:t>
      </w:r>
    </w:p>
    <w:tbl>
      <w:tblPr>
        <w:tblStyle w:val="ab"/>
        <w:tblW w:type="auto" w:w="0"/>
        <w:jc w:val="center"/>
        <w:tblLook w:firstColumn="1" w:firstRow="1" w:lastColumn="0" w:lastRow="0" w:noHBand="0" w:noVBand="1" w:val="04A0"/>
      </w:tblPr>
      <w:tblGrid>
        <w:gridCol w:w="3120"/>
        <w:gridCol w:w="3120"/>
        <w:gridCol w:w="3120"/>
      </w:tblGrid>
      <w:tr>
        <w:trPr>
          <w:cantSplit/>
          <w:tblHeader w:val="true"/>
        </w:trPr>
        <w:tc>
          <w:tcPr>
            <w:tcW w:type="dxa" w:w="73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Resource</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Material kit file</w:t>
            </w:r>
          </w:p>
        </w:tc>
        <w:tc>
          <w:tcPr>
            <w:tcW w:type="dxa" w:w="481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Purpose / when used</w:t>
            </w:r>
          </w:p>
        </w:tc>
      </w:tr>
      <w:tr>
        <w:trPr>
          <w:cantSplit/>
        </w:trPr>
        <w:tc>
          <w:tcPr>
            <w:tcW w:type="dxa" w:w="73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Independent test and review record</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student_common/01_PART4_Independent_Test_and_Review_Record.docx</w:t>
            </w:r>
          </w:p>
        </w:tc>
        <w:tc>
          <w:tcPr>
            <w:tcW w:type="dxa" w:w="481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Canonical four-page record. One copy per creator prototype. Carries evidence, review, decision and embedded Part 5 handover.</w:t>
            </w:r>
          </w:p>
        </w:tc>
      </w:tr>
      <w:tr>
        <w:trPr>
          <w:cantSplit/>
        </w:trPr>
        <w:tc>
          <w:tcPr>
            <w:tcW w:type="dxa" w:w="73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Four test missions card</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student_common/02_PART4_Four_Test_Missions_Card.docx</w:t>
            </w:r>
          </w:p>
        </w:tc>
        <w:tc>
          <w:tcPr>
            <w:tcW w:type="dxa" w:w="481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Short common reference for the four test missions, safe-input rules and evidence sentence.</w:t>
            </w:r>
          </w:p>
        </w:tc>
      </w:tr>
      <w:tr>
        <w:trPr>
          <w:cantSplit/>
        </w:trPr>
        <w:tc>
          <w:tcPr>
            <w:tcW w:type="dxa" w:w="73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Scratch testing card</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prototype_cards/03_Option_A_Scratch_Independent_Testing_Card.docx</w:t>
            </w:r>
          </w:p>
        </w:tc>
        <w:tc>
          <w:tcPr>
            <w:tcW w:type="dxa" w:w="481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One-page Scratch operating sequence. Use with an open, saved project and Part 4 Independent Test and Review Record.</w:t>
            </w:r>
          </w:p>
        </w:tc>
      </w:tr>
      <w:tr>
        <w:trPr>
          <w:cantSplit/>
        </w:trPr>
        <w:tc>
          <w:tcPr>
            <w:tcW w:type="dxa" w:w="73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GenAI testing card</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prototype_cards/04_Option_B_School_Approved_GenAI_Independent_Testing_Card.docx</w:t>
            </w:r>
          </w:p>
        </w:tc>
        <w:tc>
          <w:tcPr>
            <w:tcW w:type="dxa" w:w="481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One-page conditional route card for a teacher-tested, school-approved GenAI setup. Includes logic-drift check.</w:t>
            </w:r>
          </w:p>
        </w:tc>
      </w:tr>
      <w:tr>
        <w:trPr>
          <w:cantSplit/>
        </w:trPr>
        <w:tc>
          <w:tcPr>
            <w:tcW w:type="dxa" w:w="73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Paper testing card</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prototype_cards/05_Option_C_Paper_Independent_Testing_Card.docx</w:t>
            </w:r>
          </w:p>
        </w:tc>
        <w:tc>
          <w:tcPr>
            <w:tcW w:type="dxa" w:w="481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One-page low-tech route card for cards, flowchart or paper interface. Tests the designed rules, not the operator.</w:t>
            </w:r>
          </w:p>
        </w:tc>
      </w:tr>
    </w:tbl>
    <w:p>
      <w:pPr>
        <w:pStyle w:val="4"/>
        <w:spacing w:before="80" w:after="60" w:line="240" w:lineRule="auto"/>
        <w:ind w:left="0" w:right="0"/>
        <w:keepNext/>
      </w:pPr>
      <w:r>
        <w:rPr>
          <w:rFonts w:ascii="Arial" w:hAnsi="Arial" w:eastAsia="Arial"/>
          <w:b/>
          <w:i w:val="0"/>
          <w:color w:val="0E4F6C"/>
          <w:sz w:val="20"/>
        </w:rPr>
        <w:t>What the teacher actually needs</w:t>
      </w:r>
    </w:p>
    <w:tbl>
      <w:tblPr>
        <w:tblStyle w:val="ab"/>
        <w:tblW w:type="auto" w:w="0"/>
        <w:jc w:val="center"/>
        <w:tblLook w:firstColumn="1" w:firstRow="1" w:lastColumn="0" w:lastRow="0" w:noHBand="0" w:noVBand="1" w:val="04A0"/>
      </w:tblPr>
      <w:tblGrid>
        <w:gridCol w:w="4680"/>
        <w:gridCol w:w="4680"/>
      </w:tblGrid>
      <w:tr>
        <w:trPr>
          <w:cantSplit/>
          <w:tblHeader w:val="true"/>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Use</w:t>
            </w:r>
          </w:p>
        </w:tc>
        <w:tc>
          <w:tcPr>
            <w:tcW w:type="dxa" w:w="7370"/>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Required material</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Every class</w:t>
            </w:r>
          </w:p>
        </w:tc>
        <w:tc>
          <w:tcPr>
            <w:tcW w:type="dxa" w:w="7370"/>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Teacher Guide + Part 4 Independent Test and Review Record, one copy per creator prototype + Four Test Missions Card displayed or shared.</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Every prototype</w:t>
            </w:r>
          </w:p>
        </w:tc>
        <w:tc>
          <w:tcPr>
            <w:tcW w:type="dxa" w:w="7370"/>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Saved prototype + Part 3 Prototype Build Record page 4 / Test Brief.</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Scratch</w:t>
            </w:r>
          </w:p>
        </w:tc>
        <w:tc>
          <w:tcPr>
            <w:tcW w:type="dxa" w:w="7370"/>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Option A Scratch Independent Testing Card; project already open or recoverable on the original device where possible.</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School-approved GenAI</w:t>
            </w:r>
          </w:p>
        </w:tc>
        <w:tc>
          <w:tcPr>
            <w:tcW w:type="dxa" w:w="7370"/>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Option B School-Approved GenAI Independent Testing Card; approved environment, teacher-tested access and exact Part 3 setup.</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Paper</w:t>
            </w:r>
          </w:p>
        </w:tc>
        <w:tc>
          <w:tcPr>
            <w:tcW w:type="dxa" w:w="7370"/>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Option C Paper Independent Testing Card; complete labelled paper prototype and a strict operator role.</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Contingency</w:t>
            </w:r>
          </w:p>
        </w:tc>
        <w:tc>
          <w:tcPr>
            <w:tcW w:type="dxa" w:w="7370"/>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Only a completed paper backup verified against the same prototype state before Part 4 and linked to the Part 3 Test Brief.</w:t>
            </w:r>
          </w:p>
        </w:tc>
      </w:tr>
    </w:tbl>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4.</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BEFORE THE LESSON</w:t>
            </w:r>
          </w:p>
        </w:tc>
      </w:tr>
    </w:tbl>
    <w:tbl>
      <w:tblPr>
        <w:tblStyle w:val="ab"/>
        <w:tblW w:type="auto" w:w="0"/>
        <w:jc w:val="center"/>
        <w:tblLook w:firstColumn="1" w:firstRow="1" w:lastColumn="0" w:lastRow="0" w:noHBand="0" w:noVBand="1" w:val="04A0"/>
      </w:tblPr>
      <w:tblGrid>
        <w:gridCol w:w="3120"/>
        <w:gridCol w:w="3120"/>
        <w:gridCol w:w="3120"/>
      </w:tblGrid>
      <w:tr>
        <w:trPr>
          <w:cantSplit/>
          <w:tblHeader w:val="true"/>
        </w:trPr>
        <w:tc>
          <w:tcPr>
            <w:tcW w:type="dxa" w:w="181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Readiness check</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Required condition</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If not ready</w:t>
            </w:r>
          </w:p>
        </w:tc>
      </w:tr>
      <w:tr>
        <w:trPr>
          <w:cantSplit/>
        </w:trPr>
        <w:tc>
          <w:tcPr>
            <w:tcW w:type="dxa" w:w="181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Prototype access</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Every prototype opens, starts or can be operated without creator explanation.</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Recover access before pairing. If recovery takes more than two minutes, use only a verified same-state paper backup; otherwise record Blocked and RETEST NEEDED.</w:t>
            </w:r>
          </w:p>
        </w:tc>
      </w:tr>
      <w:tr>
        <w:trPr>
          <w:cantSplit/>
        </w:trPr>
        <w:tc>
          <w:tcPr>
            <w:tcW w:type="dxa" w:w="181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Part 3 handover</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Page 4 Test Brief is present and readable.</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Retrieve it. Do not ask students to reconstruct the design from memory.</w:t>
            </w:r>
          </w:p>
        </w:tc>
      </w:tr>
      <w:tr>
        <w:trPr>
          <w:cantSplit/>
        </w:trPr>
        <w:tc>
          <w:tcPr>
            <w:tcW w:type="dxa" w:w="181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Pairing</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Each group is paired with one different creator group.</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Pair in advance. Avoid a three-group chain unless device numbers require it.</w:t>
            </w:r>
          </w:p>
        </w:tc>
      </w:tr>
      <w:tr>
        <w:trPr>
          <w:cantSplit/>
        </w:trPr>
        <w:tc>
          <w:tcPr>
            <w:tcW w:type="dxa" w:w="181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Record ownership</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One Part 4 Independent Test and Review Record is labelled for each creator prototype.</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Prepare records before the lesson; testers write on the creator prototype’s record.</w:t>
            </w:r>
          </w:p>
        </w:tc>
      </w:tr>
      <w:tr>
        <w:trPr>
          <w:cantSplit/>
        </w:trPr>
        <w:tc>
          <w:tcPr>
            <w:tcW w:type="dxa" w:w="181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Route card</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Only the selected Option A Scratch Independent Testing Card, Option B School-Approved GenAI Independent Testing Card or Option C Paper Independent Testing Card is distributed.</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Do not give students irrelevant route instructions.</w:t>
            </w:r>
          </w:p>
        </w:tc>
      </w:tr>
      <w:tr>
        <w:trPr>
          <w:cantSplit/>
        </w:trPr>
        <w:tc>
          <w:tcPr>
            <w:tcW w:type="dxa" w:w="181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Privacy</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Files, prompts and labels contain no personal or sensitive information.</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Remove or replace the information before testing.</w:t>
            </w:r>
          </w:p>
        </w:tc>
      </w:tr>
    </w:tbl>
    <w:p>
      <w:pPr>
        <w:pStyle w:val="4"/>
        <w:spacing w:before="80" w:after="60" w:line="240" w:lineRule="auto"/>
        <w:ind w:left="0" w:right="0"/>
        <w:keepNext/>
      </w:pPr>
      <w:r>
        <w:rPr>
          <w:rFonts w:ascii="Arial" w:hAnsi="Arial" w:eastAsia="Arial"/>
          <w:b/>
          <w:i w:val="0"/>
          <w:color w:val="0E4F6C"/>
          <w:sz w:val="20"/>
        </w:rPr>
        <w:t>Tester and creator roles</w:t>
      </w:r>
    </w:p>
    <w:tbl>
      <w:tblPr>
        <w:tblStyle w:val="ab"/>
        <w:tblW w:type="auto" w:w="0"/>
        <w:jc w:val="center"/>
        <w:tblLook w:firstColumn="1" w:firstRow="1" w:lastColumn="0" w:lastRow="0" w:noHBand="0" w:noVBand="1" w:val="04A0"/>
      </w:tblPr>
      <w:tblGrid>
        <w:gridCol w:w="3120"/>
        <w:gridCol w:w="3120"/>
        <w:gridCol w:w="3120"/>
      </w:tblGrid>
      <w:tr>
        <w:trPr>
          <w:cantSplit/>
          <w:tblHeader w:val="true"/>
        </w:trPr>
        <w:tc>
          <w:tcPr>
            <w:tcW w:type="dxa" w:w="170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Role</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During independent testing</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During creator review</w:t>
            </w:r>
          </w:p>
        </w:tc>
      </w:tr>
      <w:tr>
        <w:trPr>
          <w:cantSplit/>
        </w:trPr>
        <w:tc>
          <w:tcPr>
            <w:tcW w:type="dxa" w:w="170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Tester / Input Reader</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Reads the Test Brief and enters or presents the exact input.</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Returns the record; does not argue for a specific change.</w:t>
            </w:r>
          </w:p>
        </w:tc>
      </w:tr>
      <w:tr>
        <w:trPr>
          <w:cantSplit/>
        </w:trPr>
        <w:tc>
          <w:tcPr>
            <w:tcW w:type="dxa" w:w="170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Evidence Recorder</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Writes the observable response or route before any judgement.</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Clarifies handwriting only; does not rewrite evidence.</w:t>
            </w:r>
          </w:p>
        </w:tc>
      </w:tr>
      <w:tr>
        <w:trPr>
          <w:cantSplit/>
        </w:trPr>
        <w:tc>
          <w:tcPr>
            <w:tcW w:type="dxa" w:w="170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Route Observer</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Checks what branch, card, rule or setup was reached.</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May point to the recorded test mission.</w:t>
            </w:r>
          </w:p>
        </w:tc>
      </w:tr>
      <w:tr>
        <w:trPr>
          <w:cantSplit/>
        </w:trPr>
        <w:tc>
          <w:tcPr>
            <w:tcW w:type="dxa" w:w="170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Creator group</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Remains silent and does not coach testers.</w:t>
            </w:r>
          </w:p>
        </w:tc>
        <w:tc>
          <w:tcPr>
            <w:tcW w:type="dxa" w:w="39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Compares evidence with expectation and makes the Part 5 decision.</w:t>
            </w:r>
          </w:p>
        </w:tc>
      </w:tr>
    </w:tbl>
    <w:tbl>
      <w:tblPr>
        <w:tblW w:type="auto" w:w="0"/>
        <w:jc w:val="center"/>
        <w:tblLook w:firstColumn="1" w:firstRow="1" w:lastColumn="0" w:lastRow="0" w:noHBand="0" w:noVBand="1" w:val="04A0"/>
      </w:tblPr>
      <w:tblGrid>
        <w:gridCol w:w="9360"/>
      </w:tblGrid>
      <w:tr>
        <w:trPr>
          <w:cantSplit/>
        </w:trPr>
        <w:tc>
          <w:tcPr>
            <w:tcW w:type="dxa" w:w="9360"/>
            <w:shd w:fill="FCE4D6" w:val="clear"/>
            <w:tcMar>
              <w:top w:w="85" w:type="dxa"/>
              <w:start w:w="100" w:type="dxa"/>
              <w:bottom w:w="85" w:type="dxa"/>
              <w:end w:w="100" w:type="dxa"/>
            </w:tcMar>
            <w:tcBorders>
              <w:top w:val="single" w:sz="5" w:color="9FBAD0"/>
              <w:left w:val="single" w:sz="5" w:color="9FBAD0"/>
              <w:bottom w:val="single" w:sz="5" w:color="9FBAD0"/>
              <w:right w:val="single" w:sz="5" w:color="9FBAD0"/>
            </w:tcBorders>
          </w:tcPr>
          <w:p>
            <w:pPr>
              <w:spacing w:before="0" w:after="20" w:line="240" w:lineRule="auto"/>
              <w:ind w:left="0" w:right="0"/>
            </w:pPr>
            <w:r>
              <w:rPr>
                <w:rFonts w:ascii="Arial" w:hAnsi="Arial" w:eastAsia="Arial"/>
                <w:b/>
                <w:i w:val="0"/>
                <w:color w:val="0E4F6C"/>
                <w:sz w:val="17"/>
              </w:rPr>
              <w:t>Independence gate</w:t>
            </w:r>
          </w:p>
          <w:p>
            <w:pPr>
              <w:spacing w:before="0" w:after="0" w:line="240" w:lineRule="auto"/>
              <w:ind w:left="0" w:right="0"/>
            </w:pPr>
            <w:r>
              <w:rPr>
                <w:rFonts w:ascii="Arial" w:hAnsi="Arial" w:eastAsia="Arial"/>
                <w:b w:val="0"/>
                <w:i w:val="0"/>
                <w:color w:val="000000"/>
                <w:sz w:val="17"/>
              </w:rPr>
              <w:t>Creators may show only the agreed access method before testing begins. They do not explain categories, reveal expected answers, suggest inputs or defend the prototype while all four test missions are running.</w:t>
            </w:r>
          </w:p>
        </w:tc>
      </w:tr>
    </w:tbl>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5.</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REALISTIC TIMING MODEL</w:t>
            </w:r>
          </w:p>
        </w:tc>
      </w:tr>
    </w:tbl>
    <w:p>
      <w:pPr>
        <w:pStyle w:val="4"/>
        <w:spacing w:before="80" w:after="60" w:line="240" w:lineRule="auto"/>
        <w:ind w:left="0" w:right="0"/>
        <w:keepNext/>
      </w:pPr>
      <w:r>
        <w:rPr>
          <w:rFonts w:ascii="Arial" w:hAnsi="Arial" w:eastAsia="Arial"/>
          <w:b/>
          <w:i w:val="0"/>
          <w:color w:val="0E4F6C"/>
          <w:sz w:val="20"/>
        </w:rPr>
        <w:t>Standard route — 45 minutes</w:t>
      </w:r>
    </w:p>
    <w:p>
      <w:pPr>
        <w:spacing w:before="0" w:after="60" w:line="240" w:lineRule="auto"/>
        <w:ind w:left="0" w:right="0"/>
      </w:pPr>
      <w:r>
        <w:rPr>
          <w:rFonts w:ascii="Arial" w:hAnsi="Arial" w:eastAsia="Arial"/>
          <w:b w:val="0"/>
          <w:i w:val="0"/>
          <w:color w:val="000000"/>
          <w:sz w:val="17"/>
        </w:rPr>
        <w:t>This is the normal delivery. It is realistic only when access, pairing, records and route cards are prepared before students enter.</w:t>
      </w:r>
    </w:p>
    <w:tbl>
      <w:tblPr>
        <w:tblStyle w:val="ab"/>
        <w:tblW w:type="auto" w:w="0"/>
        <w:jc w:val="center"/>
        <w:tblLook w:firstColumn="1" w:firstRow="1" w:lastColumn="0" w:lastRow="0" w:noHBand="0" w:noVBand="1" w:val="04A0"/>
      </w:tblPr>
      <w:tblGrid>
        <w:gridCol w:w="2340"/>
        <w:gridCol w:w="2340"/>
        <w:gridCol w:w="2340"/>
        <w:gridCol w:w="2340"/>
      </w:tblGrid>
      <w:tr>
        <w:trPr>
          <w:cantSplit/>
          <w:tblHeader w:val="true"/>
        </w:trPr>
        <w:tc>
          <w:tcPr>
            <w:tcW w:type="dxa" w:w="56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Step</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Teaching move</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Time</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Protected output</w:t>
            </w:r>
          </w:p>
        </w:tc>
      </w:tr>
      <w:tr>
        <w:trPr>
          <w:cantSplit/>
        </w:trPr>
        <w:tc>
          <w:tcPr>
            <w:tcW w:type="dxa" w:w="56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1</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Reconnect, label records and check access</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5 min</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Every tester has the prototype, Part 3 Test Brief and correct Part 4 Independent Test and Review Record.</w:t>
            </w:r>
          </w:p>
        </w:tc>
      </w:tr>
      <w:tr>
        <w:trPr>
          <w:cantSplit/>
        </w:trPr>
        <w:tc>
          <w:tcPr>
            <w:tcW w:type="dxa" w:w="56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2</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Model the evidence-first rule and assign roles</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5 min</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Students can distinguish input, observable behaviour and later judgement.</w:t>
            </w:r>
          </w:p>
        </w:tc>
      </w:tr>
      <w:tr>
        <w:trPr>
          <w:cantSplit/>
        </w:trPr>
        <w:tc>
          <w:tcPr>
            <w:tcW w:type="dxa" w:w="56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3</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Run all four test missions independently</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18 min</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Four evidence rows completed or one precise Blocked status.</w:t>
            </w:r>
          </w:p>
        </w:tc>
      </w:tr>
      <w:tr>
        <w:trPr>
          <w:cantSplit/>
        </w:trPr>
        <w:tc>
          <w:tcPr>
            <w:tcW w:type="dxa" w:w="56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4</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Testers review evidence and return the record</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7 min</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Verified Strength, Priority Review Finding and review matrix linked to test missions.</w:t>
            </w:r>
          </w:p>
        </w:tc>
      </w:tr>
      <w:tr>
        <w:trPr>
          <w:cantSplit/>
        </w:trPr>
        <w:tc>
          <w:tcPr>
            <w:tcW w:type="dxa" w:w="56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5</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Creators compare and make the Part 5 Review Decision</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8 min</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Improve or Keep, evidence reason and reserved verification input.</w:t>
            </w:r>
          </w:p>
        </w:tc>
      </w:tr>
      <w:tr>
        <w:trPr>
          <w:cantSplit/>
        </w:trPr>
        <w:tc>
          <w:tcPr>
            <w:tcW w:type="dxa" w:w="56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6</w:t>
            </w:r>
          </w:p>
        </w:tc>
        <w:tc>
          <w:tcPr>
            <w:tcW w:type="dxa" w:w="408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Privacy, handover and collection</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2 min</w:t>
            </w:r>
          </w:p>
        </w:tc>
        <w:tc>
          <w:tcPr>
            <w:tcW w:type="dxa" w:w="385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Complete the Part 4 Independent Test and Review Record and accessible prototype submitted for Part 5.</w:t>
            </w:r>
          </w:p>
        </w:tc>
      </w:tr>
    </w:tbl>
    <w:tbl>
      <w:tblPr>
        <w:tblW w:type="auto" w:w="0"/>
        <w:jc w:val="center"/>
        <w:tblLook w:firstColumn="1" w:firstRow="1" w:lastColumn="0" w:lastRow="0" w:noHBand="0" w:noVBand="1" w:val="04A0"/>
      </w:tblPr>
      <w:tblGrid>
        <w:gridCol w:w="9360"/>
      </w:tblGrid>
      <w:tr>
        <w:trPr>
          <w:cantSplit/>
        </w:trPr>
        <w:tc>
          <w:tcPr>
            <w:tcW w:type="dxa" w:w="9360"/>
            <w:shd w:fill="FFF2CC" w:val="clear"/>
            <w:tcMar>
              <w:top w:w="85" w:type="dxa"/>
              <w:start w:w="100" w:type="dxa"/>
              <w:bottom w:w="85" w:type="dxa"/>
              <w:end w:w="100" w:type="dxa"/>
            </w:tcMar>
            <w:tcBorders>
              <w:top w:val="single" w:sz="5" w:color="9FBAD0"/>
              <w:left w:val="single" w:sz="5" w:color="9FBAD0"/>
              <w:bottom w:val="single" w:sz="5" w:color="9FBAD0"/>
              <w:right w:val="single" w:sz="5" w:color="9FBAD0"/>
            </w:tcBorders>
          </w:tcPr>
          <w:p>
            <w:pPr>
              <w:spacing w:before="0" w:after="20" w:line="240" w:lineRule="auto"/>
              <w:ind w:left="0" w:right="0"/>
            </w:pPr>
            <w:r>
              <w:rPr>
                <w:rFonts w:ascii="Arial" w:hAnsi="Arial" w:eastAsia="Arial"/>
                <w:b/>
                <w:i w:val="0"/>
                <w:color w:val="0E4F6C"/>
                <w:sz w:val="17"/>
              </w:rPr>
              <w:t>Timing safeguard</w:t>
            </w:r>
          </w:p>
          <w:p>
            <w:pPr>
              <w:spacing w:before="0" w:after="0" w:line="240" w:lineRule="auto"/>
              <w:ind w:left="0" w:right="0"/>
            </w:pPr>
            <w:r>
              <w:rPr>
                <w:rFonts w:ascii="Arial" w:hAnsi="Arial" w:eastAsia="Arial"/>
                <w:b w:val="0"/>
                <w:i w:val="0"/>
                <w:color w:val="000000"/>
                <w:sz w:val="17"/>
              </w:rPr>
              <w:t>Do not spend the testing window fixing access. Use a two-minute recovery limit. Then use only a verified same-state paper backup; otherwise record the affected test as Blocked and select RETEST NEEDED. Protect the four tests and the creator decision.</w:t>
            </w:r>
          </w:p>
        </w:tc>
      </w:tr>
    </w:tbl>
    <w:p>
      <w:pPr>
        <w:pStyle w:val="4"/>
        <w:spacing w:before="80" w:after="60" w:line="240" w:lineRule="auto"/>
        <w:ind w:left="0" w:right="0"/>
        <w:keepNext/>
      </w:pPr>
      <w:r>
        <w:rPr>
          <w:rFonts w:ascii="Arial" w:hAnsi="Arial" w:eastAsia="Arial"/>
          <w:b/>
          <w:i w:val="0"/>
          <w:color w:val="0E4F6C"/>
          <w:sz w:val="20"/>
        </w:rPr>
        <w:t>Extended route — 60 minutes</w:t>
      </w:r>
    </w:p>
    <w:tbl>
      <w:tblPr>
        <w:tblStyle w:val="ab"/>
        <w:tblW w:type="auto" w:w="0"/>
        <w:jc w:val="center"/>
        <w:tblLook w:firstColumn="1" w:firstRow="1" w:lastColumn="0" w:lastRow="0" w:noHBand="0" w:noVBand="1" w:val="04A0"/>
      </w:tblPr>
      <w:tblGrid>
        <w:gridCol w:w="3120"/>
        <w:gridCol w:w="3120"/>
        <w:gridCol w:w="3120"/>
      </w:tblGrid>
      <w:tr>
        <w:trPr>
          <w:cantSplit/>
          <w:tblHeader w:val="true"/>
        </w:trPr>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Phase</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Time</w:t>
            </w:r>
          </w:p>
        </w:tc>
        <w:tc>
          <w:tcPr>
            <w:tcW w:type="dxa" w:w="56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What the additional time protects</w:t>
            </w:r>
          </w:p>
        </w:tc>
      </w:tr>
      <w:tr>
        <w:trPr>
          <w:cantSplit/>
        </w:trPr>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Readiness and evidence modelling</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10 min</w:t>
            </w:r>
          </w:p>
        </w:tc>
        <w:tc>
          <w:tcPr>
            <w:tcW w:type="dxa" w:w="56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A slower modelled example, role confirmation and access recovery.</w:t>
            </w:r>
          </w:p>
        </w:tc>
      </w:tr>
      <w:tr>
        <w:trPr>
          <w:cantSplit/>
        </w:trPr>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Independent testing across all four test missions</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22 min</w:t>
            </w:r>
          </w:p>
        </w:tc>
        <w:tc>
          <w:tcPr>
            <w:tcW w:type="dxa" w:w="56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Careful capture of exact or functionally accurate responses.</w:t>
            </w:r>
          </w:p>
        </w:tc>
      </w:tr>
      <w:tr>
        <w:trPr>
          <w:cantSplit/>
        </w:trPr>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Human evidence review</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10 min</w:t>
            </w:r>
          </w:p>
        </w:tc>
        <w:tc>
          <w:tcPr>
            <w:tcW w:type="dxa" w:w="56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Stronger comparison across expected behaviour, clarity, usefulness, fallback and safety.</w:t>
            </w:r>
          </w:p>
        </w:tc>
      </w:tr>
      <w:tr>
        <w:trPr>
          <w:cantSplit/>
        </w:trPr>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Optional GenAI evidence challenge</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8 min</w:t>
            </w:r>
          </w:p>
        </w:tc>
        <w:tc>
          <w:tcPr>
            <w:tcW w:type="dxa" w:w="56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One AI challenge after human judgement; students Accept, Adapt or Reject.</w:t>
            </w:r>
          </w:p>
        </w:tc>
      </w:tr>
      <w:tr>
        <w:trPr>
          <w:cantSplit/>
        </w:trPr>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Creator decision and handover</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8 min</w:t>
            </w:r>
          </w:p>
        </w:tc>
        <w:tc>
          <w:tcPr>
            <w:tcW w:type="dxa" w:w="56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Specific Part 5 decision and reserved verification input.</w:t>
            </w:r>
          </w:p>
        </w:tc>
      </w:tr>
      <w:tr>
        <w:trPr>
          <w:cantSplit/>
        </w:trPr>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Debrief / collection</w:t>
            </w:r>
          </w:p>
        </w:tc>
        <w:tc>
          <w:tcPr>
            <w:tcW w:type="dxa" w:w="113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2 min</w:t>
            </w:r>
          </w:p>
        </w:tc>
        <w:tc>
          <w:tcPr>
            <w:tcW w:type="dxa" w:w="5669"/>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One concise class takeaway and complete submission.</w:t>
            </w:r>
          </w:p>
        </w:tc>
      </w:tr>
    </w:tbl>
    <w:p>
      <w:pPr>
        <w:spacing w:before="0" w:after="60" w:line="240" w:lineRule="auto"/>
        <w:ind w:left="0" w:right="0"/>
      </w:pPr>
      <w:r>
        <w:rPr>
          <w:rFonts w:ascii="Arial" w:hAnsi="Arial" w:eastAsia="Arial"/>
          <w:b w:val="0"/>
          <w:i w:val="0"/>
          <w:color w:val="000000"/>
          <w:sz w:val="17"/>
        </w:rPr>
        <w:t>The extended route provides depth, not extra tests for their own sake. Do not turn the additional time into free exploration, adversarial prompting, rebuilding or early Part 5 refinement.</w:t>
      </w:r>
    </w:p>
    <w:p>
      <w:pPr>
        <w:pStyle w:val="4"/>
        <w:spacing w:before="80" w:after="60" w:line="240" w:lineRule="auto"/>
        <w:ind w:left="0" w:right="0"/>
        <w:keepNext/>
      </w:pPr>
      <w:r>
        <w:rPr>
          <w:rFonts w:ascii="Arial" w:hAnsi="Arial" w:eastAsia="Arial"/>
          <w:b/>
          <w:i w:val="0"/>
          <w:color w:val="0E4F6C"/>
          <w:sz w:val="20"/>
        </w:rPr>
        <w:t>What to protect if time is tight</w:t>
      </w:r>
    </w:p>
    <w:p>
      <w:pPr>
        <w:pStyle w:val="a7"/>
        <w:spacing w:before="0" w:after="30" w:line="240" w:lineRule="auto"/>
        <w:ind w:left="0" w:right="0"/>
      </w:pPr>
      <w:r>
        <w:rPr>
          <w:rFonts w:ascii="Arial" w:hAnsi="Arial" w:eastAsia="Arial"/>
          <w:b/>
          <w:i w:val="0"/>
          <w:color w:val="000000"/>
          <w:sz w:val="17"/>
        </w:rPr>
        <w:t xml:space="preserve">• </w:t>
      </w:r>
      <w:r>
        <w:rPr>
          <w:rFonts w:ascii="Arial" w:hAnsi="Arial" w:eastAsia="Arial"/>
          <w:b w:val="0"/>
          <w:i w:val="0"/>
          <w:color w:val="000000"/>
          <w:sz w:val="17"/>
        </w:rPr>
        <w:t>all four test missions, with observable behaviour recorded for each;</w:t>
      </w:r>
    </w:p>
    <w:p>
      <w:pPr>
        <w:pStyle w:val="a7"/>
        <w:spacing w:before="0" w:after="30" w:line="240" w:lineRule="auto"/>
        <w:ind w:left="0" w:right="0"/>
      </w:pPr>
      <w:r>
        <w:rPr>
          <w:rFonts w:ascii="Arial" w:hAnsi="Arial" w:eastAsia="Arial"/>
          <w:b/>
          <w:i w:val="0"/>
          <w:color w:val="000000"/>
          <w:sz w:val="17"/>
        </w:rPr>
        <w:t xml:space="preserve">• </w:t>
      </w:r>
      <w:r>
        <w:rPr>
          <w:rFonts w:ascii="Arial" w:hAnsi="Arial" w:eastAsia="Arial"/>
          <w:b w:val="0"/>
          <w:i w:val="0"/>
          <w:color w:val="000000"/>
          <w:sz w:val="17"/>
        </w:rPr>
        <w:t>one Verified Strength and one Priority Review Finding;</w:t>
      </w:r>
    </w:p>
    <w:p>
      <w:pPr>
        <w:pStyle w:val="a7"/>
        <w:spacing w:before="0" w:after="30" w:line="240" w:lineRule="auto"/>
        <w:ind w:left="0" w:right="0"/>
      </w:pPr>
      <w:r>
        <w:rPr>
          <w:rFonts w:ascii="Arial" w:hAnsi="Arial" w:eastAsia="Arial"/>
          <w:b/>
          <w:i w:val="0"/>
          <w:color w:val="000000"/>
          <w:sz w:val="17"/>
        </w:rPr>
        <w:t xml:space="preserve">• </w:t>
      </w:r>
      <w:r>
        <w:rPr>
          <w:rFonts w:ascii="Arial" w:hAnsi="Arial" w:eastAsia="Arial"/>
          <w:b w:val="0"/>
          <w:i w:val="0"/>
          <w:color w:val="000000"/>
          <w:sz w:val="17"/>
        </w:rPr>
        <w:t>the creator’s Improve or Keep decision with an evidence reference;</w:t>
      </w:r>
    </w:p>
    <w:p>
      <w:pPr>
        <w:pStyle w:val="a7"/>
        <w:spacing w:before="0" w:after="30" w:line="240" w:lineRule="auto"/>
        <w:ind w:left="0" w:right="0"/>
      </w:pPr>
      <w:r>
        <w:rPr>
          <w:rFonts w:ascii="Arial" w:hAnsi="Arial" w:eastAsia="Arial"/>
          <w:b/>
          <w:i w:val="0"/>
          <w:color w:val="000000"/>
          <w:sz w:val="17"/>
        </w:rPr>
        <w:t xml:space="preserve">• </w:t>
      </w:r>
      <w:r>
        <w:rPr>
          <w:rFonts w:ascii="Arial" w:hAnsi="Arial" w:eastAsia="Arial"/>
          <w:b w:val="0"/>
          <w:i w:val="0"/>
          <w:color w:val="000000"/>
          <w:sz w:val="17"/>
        </w:rPr>
        <w:t>one exact verification input for Part 5;</w:t>
      </w:r>
    </w:p>
    <w:p>
      <w:pPr>
        <w:pStyle w:val="a7"/>
        <w:spacing w:before="0" w:after="30" w:line="240" w:lineRule="auto"/>
        <w:ind w:left="0" w:right="0"/>
      </w:pPr>
      <w:r>
        <w:rPr>
          <w:rFonts w:ascii="Arial" w:hAnsi="Arial" w:eastAsia="Arial"/>
          <w:b/>
          <w:i w:val="0"/>
          <w:color w:val="000000"/>
          <w:sz w:val="17"/>
        </w:rPr>
        <w:t xml:space="preserve">• </w:t>
      </w:r>
      <w:r>
        <w:rPr>
          <w:rFonts w:ascii="Arial" w:hAnsi="Arial" w:eastAsia="Arial"/>
          <w:b w:val="0"/>
          <w:i w:val="0"/>
          <w:color w:val="000000"/>
          <w:sz w:val="17"/>
        </w:rPr>
        <w:t>the privacy and handover check.</w:t>
      </w:r>
    </w:p>
    <w:p>
      <w:pPr>
        <w:spacing w:before="0" w:after="60" w:line="240" w:lineRule="auto"/>
        <w:ind w:left="0" w:right="0"/>
      </w:pPr>
      <w:r>
        <w:rPr>
          <w:rFonts w:ascii="Arial" w:hAnsi="Arial" w:eastAsia="Arial"/>
          <w:b w:val="0"/>
          <w:i w:val="0"/>
          <w:color w:val="000000"/>
          <w:sz w:val="17"/>
        </w:rPr>
        <w:t>Reduce discussion length before reducing the number of mandatory tests. Omit the optional GenAI challenge and whole-class debrief first. Do not remove the unclear-input or outside-scope test.</w:t>
      </w:r>
    </w:p>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6.</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IMPLEMENTATION FLOW</w:t>
            </w:r>
          </w:p>
        </w:tc>
      </w:tr>
    </w:tbl>
    <w:p>
      <w:pPr>
        <w:pStyle w:val="4"/>
        <w:spacing w:before="80" w:after="60" w:line="240" w:lineRule="auto"/>
        <w:ind w:left="0" w:right="0"/>
        <w:keepNext/>
      </w:pPr>
      <w:r>
        <w:rPr>
          <w:rFonts w:ascii="Arial" w:hAnsi="Arial" w:eastAsia="Arial"/>
          <w:b/>
          <w:i w:val="0"/>
          <w:color w:val="0E4F6C"/>
          <w:sz w:val="20"/>
        </w:rPr>
        <w:t>Step 1. Reconnect with the Part 3 Test Brief</w:t>
      </w:r>
    </w:p>
    <w:tbl>
      <w:tblPr>
        <w:tblStyle w:val="ab"/>
        <w:tblW w:type="auto" w:w="0"/>
        <w:jc w:val="center"/>
        <w:tblLook w:firstColumn="1" w:firstRow="1" w:lastColumn="0" w:lastRow="0" w:noHBand="0" w:noVBand="1" w:val="04A0"/>
      </w:tblPr>
      <w:tblGrid>
        <w:gridCol w:w="4680"/>
        <w:gridCol w:w="4680"/>
      </w:tblGrid>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Time</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5 minutes</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Materials</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Prototype, Part 3 Build Record page 4, Part 4 Independent Test and Review Record, selected route card</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Teacher move</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Confirm that each record is labelled for the creator prototype. Ask creators to demonstrate only the start/access action, then move away from their own prototype.</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Student action</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Testers read the target user, purpose, exact principle-test idea, expected observable behaviour and any known technical limitation.</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Checkpoint</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Every paired group can start the prototype without a creator explanation.</w:t>
            </w:r>
          </w:p>
        </w:tc>
      </w:tr>
    </w:tbl>
    <w:p>
      <w:pPr>
        <w:pStyle w:val="4"/>
        <w:spacing w:before="80" w:after="60" w:line="240" w:lineRule="auto"/>
        <w:ind w:left="0" w:right="0"/>
        <w:keepNext/>
      </w:pPr>
      <w:r>
        <w:rPr>
          <w:rFonts w:ascii="Arial" w:hAnsi="Arial" w:eastAsia="Arial"/>
          <w:b/>
          <w:i w:val="0"/>
          <w:color w:val="0E4F6C"/>
          <w:sz w:val="20"/>
        </w:rPr>
        <w:t>Step 2. Model evidence before judgement</w:t>
      </w:r>
    </w:p>
    <w:tbl>
      <w:tblPr>
        <w:tblStyle w:val="ab"/>
        <w:tblW w:type="auto" w:w="0"/>
        <w:jc w:val="center"/>
        <w:tblLook w:firstColumn="1" w:firstRow="1" w:lastColumn="0" w:lastRow="0" w:noHBand="0" w:noVBand="1" w:val="04A0"/>
      </w:tblPr>
      <w:tblGrid>
        <w:gridCol w:w="4680"/>
        <w:gridCol w:w="4680"/>
      </w:tblGrid>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Time</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5 minutes</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Materials</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Part 4 Independent Test and Review Record and Four Test Missions Card</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Teacher move</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Model one neutral example: “Input: 9. Observed behaviour: the chatbot displayed the fallback message and asked the user to choose 1, 2 or 3.” Contrast this with an unsupported judgement such as “It was bad.”</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Student action</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Students assign Input Reader, Evidence Recorder and Route Observer. They repeat the rule: input first, behaviour second, judgement later.</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Checkpoint</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Students can produce one evidence sentence containing an exact input and a visible response or route.</w:t>
            </w:r>
          </w:p>
        </w:tc>
      </w:tr>
    </w:tbl>
    <w:p>
      <w:pPr>
        <w:pStyle w:val="4"/>
        <w:spacing w:before="80" w:after="60" w:line="240" w:lineRule="auto"/>
        <w:ind w:left="0" w:right="0"/>
        <w:keepNext/>
      </w:pPr>
      <w:r>
        <w:rPr>
          <w:rFonts w:ascii="Arial" w:hAnsi="Arial" w:eastAsia="Arial"/>
          <w:b/>
          <w:i w:val="0"/>
          <w:color w:val="0E4F6C"/>
          <w:sz w:val="20"/>
        </w:rPr>
        <w:t>Step 3. Run the four independent test missions</w:t>
      </w:r>
    </w:p>
    <w:tbl>
      <w:tblPr>
        <w:tblStyle w:val="ab"/>
        <w:tblW w:type="auto" w:w="0"/>
        <w:jc w:val="center"/>
        <w:tblLook w:firstColumn="1" w:firstRow="1" w:lastColumn="0" w:lastRow="0" w:noHBand="0" w:noVBand="1" w:val="04A0"/>
      </w:tblPr>
      <w:tblGrid>
        <w:gridCol w:w="4680"/>
        <w:gridCol w:w="4680"/>
      </w:tblGrid>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Time</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18 minutes</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Materials</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Prototype, Test Brief, Part 4 Independent Test and Review Record, Four Test Missions Card, selected route card</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Teacher move</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Keep creators silent. Prompt testers to reset or return to the start between tests. Require safe fictional inputs and a precise Blocked status when a test cannot be completed.</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Student action</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Testers run Part 1 Principle-Specific Test, Supported / Expected-Use Test, Unclear-Input / Fallback Test and Outside-Scope / Limitation-Safety Test. They record input and observable behaviour before selecting a review judgement.</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Checkpoint</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Each of the four test missions contains evidence or one precise technical reason that prevented the test.</w:t>
            </w:r>
          </w:p>
        </w:tc>
      </w:tr>
    </w:tbl>
    <w:p>
      <w:pPr>
        <w:pStyle w:val="4"/>
        <w:spacing w:before="80" w:after="60" w:line="240" w:lineRule="auto"/>
        <w:ind w:left="0" w:right="0"/>
        <w:keepNext/>
      </w:pPr>
      <w:r>
        <w:rPr>
          <w:rFonts w:ascii="Arial" w:hAnsi="Arial" w:eastAsia="Arial"/>
          <w:b/>
          <w:i w:val="0"/>
          <w:color w:val="0E4F6C"/>
          <w:sz w:val="20"/>
        </w:rPr>
        <w:t>Mandatory testing protocol</w:t>
      </w:r>
    </w:p>
    <w:tbl>
      <w:tblPr>
        <w:tblStyle w:val="ab"/>
        <w:tblW w:type="auto" w:w="0"/>
        <w:jc w:val="center"/>
        <w:tblLook w:firstColumn="1" w:firstRow="1" w:lastColumn="0" w:lastRow="0" w:noHBand="0" w:noVBand="1" w:val="04A0"/>
      </w:tblPr>
      <w:tblGrid>
        <w:gridCol w:w="2340"/>
        <w:gridCol w:w="2340"/>
        <w:gridCol w:w="2340"/>
        <w:gridCol w:w="2340"/>
      </w:tblGrid>
      <w:tr>
        <w:trPr>
          <w:cantSplit/>
          <w:tblHeader w:val="true"/>
        </w:trPr>
        <w:tc>
          <w:tcPr>
            <w:tcW w:type="dxa" w:w="175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Test</w:t>
            </w:r>
          </w:p>
        </w:tc>
        <w:tc>
          <w:tcPr>
            <w:tcW w:type="dxa" w:w="260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Input source</w:t>
            </w:r>
          </w:p>
        </w:tc>
        <w:tc>
          <w:tcPr>
            <w:tcW w:type="dxa" w:w="266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What testers record</w:t>
            </w:r>
          </w:p>
        </w:tc>
        <w:tc>
          <w:tcPr>
            <w:tcW w:type="dxa" w:w="260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What the test can show</w:t>
            </w:r>
          </w:p>
        </w:tc>
      </w:tr>
      <w:tr>
        <w:trPr>
          <w:cantSplit/>
        </w:trPr>
        <w:tc>
          <w:tcPr>
            <w:tcW w:type="dxa" w:w="175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Part 1 Principle-Specific Test</w:t>
            </w:r>
          </w:p>
        </w:tc>
        <w:tc>
          <w:tcPr>
            <w:tcW w:type="dxa" w:w="260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Use the exact principle-test idea transferred through the Part 3 Test Brief.</w:t>
            </w:r>
          </w:p>
        </w:tc>
        <w:tc>
          <w:tcPr>
            <w:tcW w:type="dxa" w:w="266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Exact input; visible response/route; whether expected behaviour was observed.</w:t>
            </w:r>
          </w:p>
        </w:tc>
        <w:tc>
          <w:tcPr>
            <w:tcW w:type="dxa" w:w="260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Whether the designed Part 1 principle is observable in this prototype behaviour.</w:t>
            </w:r>
          </w:p>
        </w:tc>
      </w:tr>
      <w:tr>
        <w:trPr>
          <w:cantSplit/>
        </w:trPr>
        <w:tc>
          <w:tcPr>
            <w:tcW w:type="dxa" w:w="175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Supported / Expected-Use Test</w:t>
            </w:r>
          </w:p>
        </w:tc>
        <w:tc>
          <w:tcPr>
            <w:tcW w:type="dxa" w:w="260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Choose one realistic input that matches a declared category or supported route.</w:t>
            </w:r>
          </w:p>
        </w:tc>
        <w:tc>
          <w:tcPr>
            <w:tcW w:type="dxa" w:w="266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Exact input; response; category/route reached.</w:t>
            </w:r>
          </w:p>
        </w:tc>
        <w:tc>
          <w:tcPr>
            <w:tcW w:type="dxa" w:w="260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Whether normal use is understandable and useful for the declared purpose.</w:t>
            </w:r>
          </w:p>
        </w:tc>
      </w:tr>
      <w:tr>
        <w:trPr>
          <w:cantSplit/>
        </w:trPr>
        <w:tc>
          <w:tcPr>
            <w:tcW w:type="dxa" w:w="175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Unclear-Input / Fallback Test</w:t>
            </w:r>
          </w:p>
        </w:tc>
        <w:tc>
          <w:tcPr>
            <w:tcW w:type="dxa" w:w="260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Use safe ambiguous wording or an invalid menu choice.</w:t>
            </w:r>
          </w:p>
        </w:tc>
        <w:tc>
          <w:tcPr>
            <w:tcW w:type="dxa" w:w="266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Exact input; fallback response; recovery guidance.</w:t>
            </w:r>
          </w:p>
        </w:tc>
        <w:tc>
          <w:tcPr>
            <w:tcW w:type="dxa" w:w="260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Whether the chatbot recognises uncertainty and helps the user continue.</w:t>
            </w:r>
          </w:p>
        </w:tc>
      </w:tr>
      <w:tr>
        <w:trPr>
          <w:cantSplit/>
        </w:trPr>
        <w:tc>
          <w:tcPr>
            <w:tcW w:type="dxa" w:w="175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Outside-Scope / Limitation-Safety Test</w:t>
            </w:r>
          </w:p>
        </w:tc>
        <w:tc>
          <w:tcPr>
            <w:tcW w:type="dxa" w:w="260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Use one safe fictional request outside the declared scope.</w:t>
            </w:r>
          </w:p>
        </w:tc>
        <w:tc>
          <w:tcPr>
            <w:tcW w:type="dxa" w:w="266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Exact input; limitation/safety response; redirection if present.</w:t>
            </w:r>
          </w:p>
        </w:tc>
        <w:tc>
          <w:tcPr>
            <w:tcW w:type="dxa" w:w="260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Whether the chatbot states limits rather than pretending to answer.</w:t>
            </w:r>
          </w:p>
        </w:tc>
      </w:tr>
    </w:tbl>
    <w:tbl>
      <w:tblPr>
        <w:tblW w:type="auto" w:w="0"/>
        <w:jc w:val="center"/>
        <w:tblLook w:firstColumn="1" w:firstRow="1" w:lastColumn="0" w:lastRow="0" w:noHBand="0" w:noVBand="1" w:val="04A0"/>
      </w:tblPr>
      <w:tblGrid>
        <w:gridCol w:w="9360"/>
      </w:tblGrid>
      <w:tr>
        <w:trPr>
          <w:cantSplit/>
        </w:trPr>
        <w:tc>
          <w:tcPr>
            <w:tcW w:type="dxa" w:w="9360"/>
            <w:shd w:fill="FCE4D6" w:val="clear"/>
            <w:tcMar>
              <w:top w:w="85" w:type="dxa"/>
              <w:start w:w="100" w:type="dxa"/>
              <w:bottom w:w="85" w:type="dxa"/>
              <w:end w:w="100" w:type="dxa"/>
            </w:tcMar>
            <w:tcBorders>
              <w:top w:val="single" w:sz="5" w:color="9FBAD0"/>
              <w:left w:val="single" w:sz="5" w:color="9FBAD0"/>
              <w:bottom w:val="single" w:sz="5" w:color="9FBAD0"/>
              <w:right w:val="single" w:sz="5" w:color="9FBAD0"/>
            </w:tcBorders>
          </w:tcPr>
          <w:p>
            <w:pPr>
              <w:spacing w:before="0" w:after="20" w:line="240" w:lineRule="auto"/>
              <w:ind w:left="0" w:right="0"/>
            </w:pPr>
            <w:r>
              <w:rPr>
                <w:rFonts w:ascii="Arial" w:hAnsi="Arial" w:eastAsia="Arial"/>
                <w:b/>
                <w:i w:val="0"/>
                <w:color w:val="0E4F6C"/>
                <w:sz w:val="17"/>
              </w:rPr>
              <w:t>Safe testing rule</w:t>
            </w:r>
          </w:p>
          <w:p>
            <w:pPr>
              <w:spacing w:before="0" w:after="0" w:line="240" w:lineRule="auto"/>
              <w:ind w:left="0" w:right="0"/>
            </w:pPr>
            <w:r>
              <w:rPr>
                <w:rFonts w:ascii="Arial" w:hAnsi="Arial" w:eastAsia="Arial"/>
                <w:b w:val="0"/>
                <w:i w:val="0"/>
                <w:color w:val="000000"/>
                <w:sz w:val="17"/>
              </w:rPr>
              <w:t>Use fictional, non-personal, non-sensitive, school-appropriate inputs connected to the interface or declared scope. Do not use hostile content, private experiences, health or legal advice, identity-based scenarios, jailbreaks or attempts to bypass safeguards.</w:t>
            </w:r>
          </w:p>
        </w:tc>
      </w:tr>
    </w:tbl>
    <w:p>
      <w:pPr>
        <w:pStyle w:val="4"/>
        <w:spacing w:before="80" w:after="60" w:line="240" w:lineRule="auto"/>
        <w:ind w:left="0" w:right="0"/>
        <w:keepNext/>
      </w:pPr>
      <w:r>
        <w:rPr>
          <w:rFonts w:ascii="Arial" w:hAnsi="Arial" w:eastAsia="Arial"/>
          <w:b/>
          <w:i w:val="0"/>
          <w:color w:val="0E4F6C"/>
          <w:sz w:val="20"/>
        </w:rPr>
        <w:t>Evidence quality check</w:t>
      </w:r>
    </w:p>
    <w:tbl>
      <w:tblPr>
        <w:tblStyle w:val="ab"/>
        <w:tblW w:type="auto" w:w="0"/>
        <w:jc w:val="center"/>
        <w:tblLook w:firstColumn="1" w:firstRow="1" w:lastColumn="0" w:lastRow="0" w:noHBand="0" w:noVBand="1" w:val="04A0"/>
      </w:tblPr>
      <w:tblGrid>
        <w:gridCol w:w="4680"/>
        <w:gridCol w:w="4680"/>
      </w:tblGrid>
      <w:tr>
        <w:trPr>
          <w:cantSplit/>
          <w:tblHeader w:val="true"/>
        </w:trPr>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Weak record</w:t>
            </w:r>
          </w:p>
        </w:tc>
        <w:tc>
          <w:tcPr>
            <w:tcW w:type="dxa" w:w="6803"/>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Acceptable evidence record</w:t>
            </w:r>
          </w:p>
        </w:tc>
      </w:tr>
      <w:tr>
        <w:trPr>
          <w:cantSplit/>
        </w:trPr>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“The answer was confusing.”</w:t>
            </w:r>
          </w:p>
        </w:tc>
        <w:tc>
          <w:tcPr>
            <w:tcW w:type="dxa" w:w="6803"/>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“Input: ‘Can you help with batteries?’ The chatbot displayed the general fallback and did not list the three available recycling categories.”</w:t>
            </w:r>
          </w:p>
        </w:tc>
      </w:tr>
      <w:tr>
        <w:trPr>
          <w:cantSplit/>
        </w:trPr>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“The safety part worked.”</w:t>
            </w:r>
          </w:p>
        </w:tc>
        <w:tc>
          <w:tcPr>
            <w:tcW w:type="dxa" w:w="6803"/>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“Input: ‘Tell me what medicine to take.’ The chatbot stated that it could not give medical advice and told the user to ask a trusted adult or health professional.”</w:t>
            </w:r>
          </w:p>
        </w:tc>
      </w:tr>
      <w:tr>
        <w:trPr>
          <w:cantSplit/>
        </w:trPr>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“It was biased.”</w:t>
            </w:r>
          </w:p>
        </w:tc>
        <w:tc>
          <w:tcPr>
            <w:tcW w:type="dxa" w:w="6803"/>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“Input: [exact safe fictional input]. The response used [specific wording/example]. We marked a possible unfairness concern because [bounded reason].”</w:t>
            </w:r>
          </w:p>
        </w:tc>
      </w:tr>
    </w:tbl>
    <w:p>
      <w:pPr>
        <w:pStyle w:val="4"/>
        <w:spacing w:before="80" w:after="60" w:line="240" w:lineRule="auto"/>
        <w:ind w:left="0" w:right="0"/>
        <w:keepNext/>
      </w:pPr>
      <w:r>
        <w:rPr>
          <w:rFonts w:ascii="Arial" w:hAnsi="Arial" w:eastAsia="Arial"/>
          <w:b/>
          <w:i w:val="0"/>
          <w:color w:val="0E4F6C"/>
          <w:sz w:val="20"/>
        </w:rPr>
        <w:t>Step 4. Review evidence and return the record</w:t>
      </w:r>
    </w:p>
    <w:tbl>
      <w:tblPr>
        <w:tblStyle w:val="ab"/>
        <w:tblW w:type="auto" w:w="0"/>
        <w:jc w:val="center"/>
        <w:tblLook w:firstColumn="1" w:firstRow="1" w:lastColumn="0" w:lastRow="0" w:noHBand="0" w:noVBand="1" w:val="04A0"/>
      </w:tblPr>
      <w:tblGrid>
        <w:gridCol w:w="4680"/>
        <w:gridCol w:w="4680"/>
      </w:tblGrid>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Time</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7 minutes</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Materials</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Completed sections for all four test missions of the Part 4 Independent Test and Review Record</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Teacher move</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Ask testers to review only what their four tests can support. Require every judgement to name at least one test mission. Remind them that “No concern observed” is not the same as proving the chatbot has no bias.</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Student action</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Testers complete the review matrix, identify one Verified Strength and one Priority Review Finding, and return the Part 4 Independent Test and Review Record to the creators.</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Checkpoint</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Each strength and finding points to the relevant test mission and uses bounded language.</w:t>
            </w:r>
          </w:p>
        </w:tc>
      </w:tr>
    </w:tbl>
    <w:p>
      <w:pPr>
        <w:pStyle w:val="4"/>
        <w:spacing w:before="80" w:after="60" w:line="240" w:lineRule="auto"/>
        <w:ind w:left="0" w:right="0"/>
        <w:keepNext/>
      </w:pPr>
      <w:r>
        <w:rPr>
          <w:rFonts w:ascii="Arial" w:hAnsi="Arial" w:eastAsia="Arial"/>
          <w:b/>
          <w:i w:val="0"/>
          <w:color w:val="0E4F6C"/>
          <w:sz w:val="20"/>
        </w:rPr>
        <w:t>Review dimensions</w:t>
      </w:r>
    </w:p>
    <w:tbl>
      <w:tblPr>
        <w:tblStyle w:val="ab"/>
        <w:tblW w:type="auto" w:w="0"/>
        <w:jc w:val="center"/>
        <w:tblLook w:firstColumn="1" w:firstRow="1" w:lastColumn="0" w:lastRow="0" w:noHBand="0" w:noVBand="1" w:val="04A0"/>
      </w:tblPr>
      <w:tblGrid>
        <w:gridCol w:w="3120"/>
        <w:gridCol w:w="3120"/>
        <w:gridCol w:w="3120"/>
      </w:tblGrid>
      <w:tr>
        <w:trPr>
          <w:cantSplit/>
          <w:tblHeader w:val="true"/>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Dimension</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Review question</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Allowed conclusion</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Expected behaviour</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Did the observed behaviour match the Test Brief expectation?</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Confirmed / Partly confirmed / Not confirmed / Not tested</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Clarity</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Could a new user understand what happened and what to do next?</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Clear / Partly clear / Unclear</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Usefulness</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Did supported-use behaviour help with the declared purpose?</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Useful / Partly useful / Not useful for this test</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Fallback / recovery</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Did unclear input lead to useful recovery guidance?</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Worked / Partly worked / Did not work</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Limitation / safety</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Did the chatbot state its limit and redirect appropriately?</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Worked / Partly worked / Did not work</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Possible unfairness or bias</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Did these tests reveal a specific concern?</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No concern observed / Possible concern / Not enough evidence</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Part 1 principle</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Was the principle observable in the Part 1 Principle-Specific Test?</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Confirmed / Partly confirmed / Not confirmed</w:t>
            </w:r>
          </w:p>
        </w:tc>
      </w:tr>
    </w:tbl>
    <w:p>
      <w:pPr>
        <w:pStyle w:val="4"/>
        <w:spacing w:before="80" w:after="60" w:line="240" w:lineRule="auto"/>
        <w:ind w:left="0" w:right="0"/>
        <w:keepNext/>
      </w:pPr>
      <w:r>
        <w:rPr>
          <w:rFonts w:ascii="Arial" w:hAnsi="Arial" w:eastAsia="Arial"/>
          <w:b/>
          <w:i w:val="0"/>
          <w:color w:val="0E4F6C"/>
          <w:sz w:val="20"/>
        </w:rPr>
        <w:t>Step 5. Creators make the Part 5 Review Decision</w:t>
      </w:r>
    </w:p>
    <w:tbl>
      <w:tblPr>
        <w:tblStyle w:val="ab"/>
        <w:tblW w:type="auto" w:w="0"/>
        <w:jc w:val="center"/>
        <w:tblLook w:firstColumn="1" w:firstRow="1" w:lastColumn="0" w:lastRow="0" w:noHBand="0" w:noVBand="1" w:val="04A0"/>
      </w:tblPr>
      <w:tblGrid>
        <w:gridCol w:w="4680"/>
        <w:gridCol w:w="4680"/>
      </w:tblGrid>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Time</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8 minutes</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Materials</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Returned Part 4 Independent Test and Review Record and Part 3 Test Brief</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Teacher move</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Keep prototypes closed for editing. Ask creators to compare the independent evidence with the expected observable behaviour and to choose one bounded decision. Challenge cosmetic or evidence-free changes.</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Student action</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Creators select Improve in Part 5 or Keep as designed, name one feature, cite the evidence and reserve one exact verification input.</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Checkpoint</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The decision is specific, evidence-linked and actionable in Part 5 without containing the new solution.</w:t>
            </w:r>
          </w:p>
        </w:tc>
      </w:tr>
    </w:tbl>
    <w:p>
      <w:pPr>
        <w:pStyle w:val="4"/>
        <w:spacing w:before="80" w:after="60" w:line="240" w:lineRule="auto"/>
        <w:ind w:left="0" w:right="0"/>
        <w:keepNext/>
      </w:pPr>
      <w:r>
        <w:rPr>
          <w:rFonts w:ascii="Arial" w:hAnsi="Arial" w:eastAsia="Arial"/>
          <w:b/>
          <w:i w:val="0"/>
          <w:color w:val="0E4F6C"/>
          <w:sz w:val="20"/>
        </w:rPr>
        <w:t>Decision rule</w:t>
      </w:r>
    </w:p>
    <w:tbl>
      <w:tblPr>
        <w:tblStyle w:val="ab"/>
        <w:tblW w:type="auto" w:w="0"/>
        <w:jc w:val="center"/>
        <w:tblLook w:firstColumn="1" w:firstRow="1" w:lastColumn="0" w:lastRow="0" w:noHBand="0" w:noVBand="1" w:val="04A0"/>
      </w:tblPr>
      <w:tblGrid>
        <w:gridCol w:w="2340"/>
        <w:gridCol w:w="2340"/>
        <w:gridCol w:w="2340"/>
        <w:gridCol w:w="2340"/>
      </w:tblGrid>
      <w:tr>
        <w:trPr>
          <w:cantSplit/>
          <w:tblHeader w:val="true"/>
        </w:trPr>
        <w:tc>
          <w:tcPr>
            <w:tcW w:type="dxa" w:w="187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Decision</w:t>
            </w:r>
          </w:p>
        </w:tc>
        <w:tc>
          <w:tcPr>
            <w:tcW w:type="dxa" w:w="294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Use when</w:t>
            </w:r>
          </w:p>
        </w:tc>
        <w:tc>
          <w:tcPr>
            <w:tcW w:type="dxa" w:w="249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What students record now</w:t>
            </w:r>
          </w:p>
        </w:tc>
        <w:tc>
          <w:tcPr>
            <w:tcW w:type="dxa" w:w="232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What waits for Part 5</w:t>
            </w:r>
          </w:p>
        </w:tc>
      </w:tr>
      <w:tr>
        <w:trPr>
          <w:cantSplit/>
        </w:trPr>
        <w:tc>
          <w:tcPr>
            <w:tcW w:type="dxa" w:w="187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IMPROVE IN PART 5</w:t>
            </w:r>
          </w:p>
        </w:tc>
        <w:tc>
          <w:tcPr>
            <w:tcW w:type="dxa" w:w="294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Evidence shows that one feature does not behave as intended, is unclear, unhelpful, weak in fallback/safety, or raises a bounded concern.</w:t>
            </w:r>
          </w:p>
        </w:tc>
        <w:tc>
          <w:tcPr>
            <w:tcW w:type="dxa" w:w="249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Feature to improve; evidence reference; why it matters; exact verification input.</w:t>
            </w:r>
          </w:p>
        </w:tc>
        <w:tc>
          <w:tcPr>
            <w:tcW w:type="dxa" w:w="232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The revised response, rule, branch, card, arrow or setup instruction; matched re-test.</w:t>
            </w:r>
          </w:p>
        </w:tc>
      </w:tr>
      <w:tr>
        <w:trPr>
          <w:cantSplit/>
        </w:trPr>
        <w:tc>
          <w:tcPr>
            <w:tcW w:type="dxa" w:w="187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KEEP AS DESIGNED</w:t>
            </w:r>
          </w:p>
        </w:tc>
        <w:tc>
          <w:tcPr>
            <w:tcW w:type="dxa" w:w="294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Evidence supports the feature and no recorded finding justifies a change.</w:t>
            </w:r>
          </w:p>
        </w:tc>
        <w:tc>
          <w:tcPr>
            <w:tcW w:type="dxa" w:w="249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Feature kept; evidence reference; why the evidence supports it; confirmation input.</w:t>
            </w:r>
          </w:p>
        </w:tc>
        <w:tc>
          <w:tcPr>
            <w:tcW w:type="dxa" w:w="232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Confirmation test, communication of the choice and final reflection.</w:t>
            </w:r>
          </w:p>
        </w:tc>
      </w:tr>
      <w:tr>
        <w:trPr>
          <w:cantSplit/>
        </w:trPr>
        <w:tc>
          <w:tcPr>
            <w:tcW w:type="dxa" w:w="187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RETEST NEEDED — blocked exception</w:t>
            </w:r>
          </w:p>
        </w:tc>
        <w:tc>
          <w:tcPr>
            <w:tcW w:type="dxa" w:w="294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Access failure or insufficient independent evidence prevents a defensible decision.</w:t>
            </w:r>
          </w:p>
        </w:tc>
        <w:tc>
          <w:tcPr>
            <w:tcW w:type="dxa" w:w="249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Blocked test and precise reason.</w:t>
            </w:r>
          </w:p>
        </w:tc>
        <w:tc>
          <w:tcPr>
            <w:tcW w:type="dxa" w:w="232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Complete missing evidence before refinement.</w:t>
            </w:r>
          </w:p>
        </w:tc>
      </w:tr>
    </w:tbl>
    <w:tbl>
      <w:tblPr>
        <w:tblW w:type="auto" w:w="0"/>
        <w:jc w:val="center"/>
        <w:tblLook w:firstColumn="1" w:firstRow="1" w:lastColumn="0" w:lastRow="0" w:noHBand="0" w:noVBand="1" w:val="04A0"/>
      </w:tblPr>
      <w:tblGrid>
        <w:gridCol w:w="9360"/>
      </w:tblGrid>
      <w:tr>
        <w:trPr>
          <w:cantSplit/>
        </w:trPr>
        <w:tc>
          <w:tcPr>
            <w:tcW w:type="dxa" w:w="9360"/>
            <w:shd w:fill="FFF2CC" w:val="clear"/>
            <w:tcMar>
              <w:top w:w="85" w:type="dxa"/>
              <w:start w:w="100" w:type="dxa"/>
              <w:bottom w:w="85" w:type="dxa"/>
              <w:end w:w="100" w:type="dxa"/>
            </w:tcMar>
            <w:tcBorders>
              <w:top w:val="single" w:sz="5" w:color="9FBAD0"/>
              <w:left w:val="single" w:sz="5" w:color="9FBAD0"/>
              <w:bottom w:val="single" w:sz="5" w:color="9FBAD0"/>
              <w:right w:val="single" w:sz="5" w:color="9FBAD0"/>
            </w:tcBorders>
          </w:tcPr>
          <w:p>
            <w:pPr>
              <w:spacing w:before="0" w:after="20" w:line="240" w:lineRule="auto"/>
              <w:ind w:left="0" w:right="0"/>
            </w:pPr>
            <w:r>
              <w:rPr>
                <w:rFonts w:ascii="Arial" w:hAnsi="Arial" w:eastAsia="Arial"/>
                <w:b/>
                <w:i w:val="0"/>
                <w:color w:val="0E4F6C"/>
                <w:sz w:val="17"/>
              </w:rPr>
              <w:t>Do not design the solution yet</w:t>
            </w:r>
          </w:p>
          <w:p>
            <w:pPr>
              <w:spacing w:before="0" w:after="0" w:line="240" w:lineRule="auto"/>
              <w:ind w:left="0" w:right="0"/>
            </w:pPr>
            <w:r>
              <w:rPr>
                <w:rFonts w:ascii="Arial" w:hAnsi="Arial" w:eastAsia="Arial"/>
                <w:b w:val="0"/>
                <w:i w:val="0"/>
                <w:color w:val="000000"/>
                <w:sz w:val="17"/>
              </w:rPr>
              <w:t>A good Part 4 decision names the feature and the evidence, not the replacement wording or code. Example: “Improve the fallback in Part 5 because the Unclear-Input / Fallback Test gave no recovery guidance. Verify with input 9.”</w:t>
            </w:r>
          </w:p>
        </w:tc>
      </w:tr>
    </w:tbl>
    <w:p>
      <w:pPr>
        <w:pStyle w:val="4"/>
        <w:spacing w:before="80" w:after="60" w:line="240" w:lineRule="auto"/>
        <w:ind w:left="0" w:right="0"/>
        <w:keepNext/>
      </w:pPr>
      <w:r>
        <w:rPr>
          <w:rFonts w:ascii="Arial" w:hAnsi="Arial" w:eastAsia="Arial"/>
          <w:b/>
          <w:i w:val="0"/>
          <w:color w:val="0E4F6C"/>
          <w:sz w:val="20"/>
        </w:rPr>
        <w:t>Step 6. Privacy, handover and submission</w:t>
      </w:r>
    </w:p>
    <w:tbl>
      <w:tblPr>
        <w:tblStyle w:val="ab"/>
        <w:tblW w:type="auto" w:w="0"/>
        <w:jc w:val="center"/>
        <w:tblLook w:firstColumn="1" w:firstRow="1" w:lastColumn="0" w:lastRow="0" w:noHBand="0" w:noVBand="1" w:val="04A0"/>
      </w:tblPr>
      <w:tblGrid>
        <w:gridCol w:w="4680"/>
        <w:gridCol w:w="4680"/>
      </w:tblGrid>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Time</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2 minutes</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Materials</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Part 4 Independent Test and Review Record, prototype and Part 3 Test Brief</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Teacher move</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Confirm that no personal or sensitive information was introduced during testing. Collect the complete record with the prototype and Test Brief.</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Student action</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Students mark the privacy check, access status and Part 5 handover complete.</w:t>
            </w:r>
          </w:p>
        </w:tc>
      </w:tr>
      <w:tr>
        <w:trPr>
          <w:cantSplit/>
        </w:trPr>
        <w:tc>
          <w:tcPr>
            <w:tcW w:type="dxa" w:w="1701"/>
            <w:shd w:fill="EEF6FA" w:val="clear"/>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i w:val="0"/>
                <w:color w:val="0E4F6C"/>
                <w:sz w:val="16"/>
              </w:rPr>
              <w:t>Checkpoint</w:t>
            </w:r>
          </w:p>
        </w:tc>
        <w:tc>
          <w:tcPr>
            <w:tcW w:type="dxa" w:w="7937"/>
            <w:tcMar>
              <w:top w:w="55" w:type="dxa"/>
              <w:start w:w="80" w:type="dxa"/>
              <w:bottom w:w="55" w:type="dxa"/>
              <w:end w:w="80" w:type="dxa"/>
            </w:tcMar>
            <w:tcBorders>
              <w:top w:val="single" w:sz="4" w:color="B7C9D6"/>
              <w:left w:val="single" w:sz="4" w:color="B7C9D6"/>
              <w:bottom w:val="single" w:sz="4" w:color="B7C9D6"/>
              <w:right w:val="single" w:sz="4" w:color="B7C9D6"/>
            </w:tcBorders>
          </w:tcPr>
          <w:p>
            <w:pPr>
              <w:spacing w:before="0" w:after="0" w:line="240" w:lineRule="auto"/>
              <w:ind w:left="0" w:right="0"/>
            </w:pPr>
            <w:r>
              <w:rPr>
                <w:rFonts w:ascii="Arial" w:hAnsi="Arial" w:eastAsia="Arial"/>
                <w:b w:val="0"/>
                <w:i w:val="0"/>
                <w:color w:val="000000"/>
                <w:sz w:val="16"/>
              </w:rPr>
              <w:t>Part 5 receives one coherent evidence package; no separate handover card is created.</w:t>
            </w:r>
          </w:p>
        </w:tc>
      </w:tr>
    </w:tbl>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7.</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PROTOTYPE ROUTES AT A GLANCE</w:t>
            </w:r>
          </w:p>
        </w:tc>
      </w:tr>
    </w:tbl>
    <w:tbl>
      <w:tblPr>
        <w:tblStyle w:val="ab"/>
        <w:tblW w:type="auto" w:w="0"/>
        <w:jc w:val="center"/>
        <w:tblLook w:firstColumn="1" w:firstRow="1" w:lastColumn="0" w:lastRow="0" w:noHBand="0" w:noVBand="1" w:val="04A0"/>
      </w:tblPr>
      <w:tblGrid>
        <w:gridCol w:w="2340"/>
        <w:gridCol w:w="2340"/>
        <w:gridCol w:w="2340"/>
        <w:gridCol w:w="2340"/>
      </w:tblGrid>
      <w:tr>
        <w:trPr>
          <w:cantSplit/>
          <w:tblHeader w:val="true"/>
        </w:trPr>
        <w:tc>
          <w:tcPr>
            <w:tcW w:type="dxa" w:w="175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Route</w:t>
            </w:r>
          </w:p>
        </w:tc>
        <w:tc>
          <w:tcPr>
            <w:tcW w:type="dxa" w:w="34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How independent testing works</w:t>
            </w:r>
          </w:p>
        </w:tc>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Additional check</w:t>
            </w:r>
          </w:p>
        </w:tc>
        <w:tc>
          <w:tcPr>
            <w:tcW w:type="dxa" w:w="221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Teacher attention</w:t>
            </w:r>
          </w:p>
        </w:tc>
      </w:tr>
      <w:tr>
        <w:trPr>
          <w:cantSplit/>
        </w:trPr>
        <w:tc>
          <w:tcPr>
            <w:tcW w:type="dxa" w:w="175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Option A — Scratch</w:t>
            </w:r>
          </w:p>
        </w:tc>
        <w:tc>
          <w:tcPr>
            <w:tcW w:type="dxa" w:w="34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Leave the saved project open on the original device where possible. Testers click the green flag, follow the visible interface and reset between test missions.</w:t>
            </w:r>
          </w:p>
        </w:tc>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Check the actual branch, response, fallback and limitation behaviour.</w:t>
            </w:r>
          </w:p>
        </w:tc>
        <w:tc>
          <w:tcPr>
            <w:tcW w:type="dxa" w:w="221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Do not open the editor during testing. If the project cannot run within two minutes, use only a verified same-state paper backup; otherwise record the test as Blocked.</w:t>
            </w:r>
          </w:p>
        </w:tc>
      </w:tr>
      <w:tr>
        <w:trPr>
          <w:cantSplit/>
        </w:trPr>
        <w:tc>
          <w:tcPr>
            <w:tcW w:type="dxa" w:w="175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Option B — school-approved GenAI</w:t>
            </w:r>
          </w:p>
        </w:tc>
        <w:tc>
          <w:tcPr>
            <w:tcW w:type="dxa" w:w="34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Testers use the exact teacher-approved setup created in Part 3 and enter only safe fictional prompts. Save or copy the actual response for evidence.</w:t>
            </w:r>
          </w:p>
        </w:tc>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Did the environment follow the designed logic, or invent, expand or alter content?</w:t>
            </w:r>
          </w:p>
        </w:tc>
        <w:tc>
          <w:tcPr>
            <w:tcW w:type="dxa" w:w="221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Use only after local approval and advance teacher testing. Do not confuse the prototype tool with optional GenAI review support.</w:t>
            </w:r>
          </w:p>
        </w:tc>
      </w:tr>
      <w:tr>
        <w:trPr>
          <w:cantSplit/>
        </w:trPr>
        <w:tc>
          <w:tcPr>
            <w:tcW w:type="dxa" w:w="1757"/>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Option C — paper prototype</w:t>
            </w:r>
          </w:p>
        </w:tc>
        <w:tc>
          <w:tcPr>
            <w:tcW w:type="dxa" w:w="34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An independent operator follows the labelled cards, flowchart or response rules exactly while testers present all four test missions.</w:t>
            </w:r>
          </w:p>
        </w:tc>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Did the designed rule lead to the observed card/route?</w:t>
            </w:r>
          </w:p>
        </w:tc>
        <w:tc>
          <w:tcPr>
            <w:tcW w:type="dxa" w:w="221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Assess the designed system, not the confidence, speed or acting ability of the student operator.</w:t>
            </w:r>
          </w:p>
        </w:tc>
      </w:tr>
    </w:tbl>
    <w:p>
      <w:pPr>
        <w:spacing w:before="0" w:after="60" w:line="240" w:lineRule="auto"/>
        <w:ind w:left="0" w:right="0"/>
      </w:pPr>
      <w:r>
        <w:rPr>
          <w:rFonts w:ascii="Arial" w:hAnsi="Arial" w:eastAsia="Arial"/>
          <w:b w:val="0"/>
          <w:i w:val="0"/>
          <w:color w:val="000000"/>
          <w:sz w:val="17"/>
        </w:rPr>
        <w:t>Route equivalence means that all students collect the same four kinds of evidence and make the same type of Part 5 decision. It does not mean that clicking a Scratch interface, prompting an approved GenAI setup and operating a paper flow feel identical.</w:t>
      </w:r>
    </w:p>
    <w:p>
      <w:pPr>
        <w:pStyle w:val="4"/>
        <w:spacing w:before="80" w:after="60" w:line="240" w:lineRule="auto"/>
        <w:ind w:left="0" w:right="0"/>
        <w:keepNext/>
      </w:pPr>
      <w:r>
        <w:rPr>
          <w:rFonts w:ascii="Arial" w:hAnsi="Arial" w:eastAsia="Arial"/>
          <w:b/>
          <w:i w:val="0"/>
          <w:color w:val="0E4F6C"/>
          <w:sz w:val="20"/>
        </w:rPr>
        <w:t>Normal classroom recommendation</w:t>
      </w:r>
    </w:p>
    <w:p>
      <w:pPr>
        <w:spacing w:before="0" w:after="60" w:line="240" w:lineRule="auto"/>
        <w:ind w:left="0" w:right="0"/>
      </w:pPr>
      <w:r>
        <w:rPr>
          <w:rFonts w:ascii="Arial" w:hAnsi="Arial" w:eastAsia="Arial"/>
          <w:b w:val="0"/>
          <w:i w:val="0"/>
          <w:color w:val="000000"/>
          <w:sz w:val="17"/>
        </w:rPr>
        <w:t>Use one prototype route for the whole class where possible. Mixed-route testing is appropriate only when the teacher has prepared each environment, distributed the correct route cards and can preserve the same timing and evidence standard for all groups.</w:t>
      </w:r>
    </w:p>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8.</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TEACHER SUPPORT AND TROUBLESHOOTING</w:t>
            </w:r>
          </w:p>
        </w:tc>
      </w:tr>
    </w:tbl>
    <w:p>
      <w:pPr>
        <w:pStyle w:val="4"/>
        <w:spacing w:before="80" w:after="60" w:line="240" w:lineRule="auto"/>
        <w:ind w:left="0" w:right="0"/>
        <w:keepNext/>
      </w:pPr>
      <w:r>
        <w:rPr>
          <w:rFonts w:ascii="Arial" w:hAnsi="Arial" w:eastAsia="Arial"/>
          <w:b/>
          <w:i w:val="0"/>
          <w:color w:val="0E4F6C"/>
          <w:sz w:val="20"/>
        </w:rPr>
        <w:t>Common problems</w:t>
      </w:r>
    </w:p>
    <w:tbl>
      <w:tblPr>
        <w:tblStyle w:val="ab"/>
        <w:tblW w:type="auto" w:w="0"/>
        <w:jc w:val="center"/>
        <w:tblLook w:firstColumn="1" w:firstRow="1" w:lastColumn="0" w:lastRow="0" w:noHBand="0" w:noVBand="1" w:val="04A0"/>
      </w:tblPr>
      <w:tblGrid>
        <w:gridCol w:w="3120"/>
        <w:gridCol w:w="3120"/>
        <w:gridCol w:w="3120"/>
      </w:tblGrid>
      <w:tr>
        <w:trPr>
          <w:cantSplit/>
          <w:tblHeader w:val="true"/>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Problem</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Teacher response</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Do not do</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Creators begin explaining or defending</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Thank them, move them away from their prototype and repeat: “The Test Brief and interface must do the explaining.”</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Do not let explanation become part of the evidence.</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Testers write opinions without behaviour</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Ask: “What exact input did you use? What did the prototype display, say or route to?”</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Do not accept “good”, “bad”, “confusing” or “biased” alone.</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Students want to fix the finding immediately</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Close the editor or put down the cards. Ask them to name the feature, evidence reference and Part 5 verification input.</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Do not allow a quick edit “just to save time”.</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One test takes too long</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Use the route card, reset and cap each mission at approximately four minutes. Mark Blocked when the interface prevents completion.</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Do not sacrifice Unclear-Input / Fallback Test or Outside-Scope / Limitation-Safety Test to preserve free exploration.</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Digital access fails</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Attempt one restart/reopen. At two minutes, use only a verified same-state paper backup; otherwise record the access block and select RETEST NEEDED.</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Do not convert the lesson into technical rebuilding.</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Bias judgement becomes too broad</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Require specific wording/behaviour and bounded language: possible concern, no concern observed, or not enough evidence.</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Do not claim that four tests prove a chatbot is fair or unfair overall.</w:t>
            </w:r>
          </w:p>
        </w:tc>
      </w:tr>
      <w:tr>
        <w:trPr>
          <w:cantSplit/>
        </w:trPr>
        <w:tc>
          <w:tcPr>
            <w:tcW w:type="dxa" w:w="226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Creators choose a cosmetic change</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Ask which test showed a learning-relevant problem. If none did, select Keep or a different evidence-backed feature.</w:t>
            </w:r>
          </w:p>
        </w:tc>
        <w:tc>
          <w:tcPr>
            <w:tcW w:type="dxa" w:w="28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Do not reward change for its own sake.</w:t>
            </w:r>
          </w:p>
        </w:tc>
      </w:tr>
    </w:tbl>
    <w:p>
      <w:pPr>
        <w:pStyle w:val="4"/>
        <w:spacing w:before="80" w:after="60" w:line="240" w:lineRule="auto"/>
        <w:ind w:left="0" w:right="0"/>
        <w:keepNext/>
      </w:pPr>
      <w:r>
        <w:rPr>
          <w:rFonts w:ascii="Arial" w:hAnsi="Arial" w:eastAsia="Arial"/>
          <w:b/>
          <w:i w:val="0"/>
          <w:color w:val="0E4F6C"/>
          <w:sz w:val="20"/>
        </w:rPr>
        <w:t>Teacher language during testing and review</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“Record what happened before you decide what it means.”</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“Use the exact input, not a summary of what you think you asked.”</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“The creators are silent because we are testing whether the prototype can explain itself.”</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“Which test mission supports that judgement?”</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“No concern observed in four tests is a bounded finding, not proof of perfect fairness.”</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“Part 4 chooses the feature. Part 5 designs and verifies the change.”</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“Keep is a valid decision when the evidence supports it.”</w:t>
      </w:r>
    </w:p>
    <w:p>
      <w:pPr>
        <w:pStyle w:val="4"/>
        <w:spacing w:before="80" w:after="60" w:line="240" w:lineRule="auto"/>
        <w:ind w:left="0" w:right="0"/>
        <w:keepNext/>
      </w:pPr>
      <w:r>
        <w:rPr>
          <w:rFonts w:ascii="Arial" w:hAnsi="Arial" w:eastAsia="Arial"/>
          <w:b/>
          <w:i w:val="0"/>
          <w:color w:val="0E4F6C"/>
          <w:sz w:val="20"/>
        </w:rPr>
        <w:t>Technical block protocol</w:t>
      </w:r>
    </w:p>
    <w:tbl>
      <w:tblPr>
        <w:tblStyle w:val="ab"/>
        <w:tblW w:type="auto" w:w="0"/>
        <w:jc w:val="center"/>
        <w:tblLook w:firstColumn="1" w:firstRow="1" w:lastColumn="0" w:lastRow="0" w:noHBand="0" w:noVBand="1" w:val="04A0"/>
      </w:tblPr>
      <w:tblGrid>
        <w:gridCol w:w="2340"/>
        <w:gridCol w:w="2340"/>
        <w:gridCol w:w="2340"/>
        <w:gridCol w:w="2340"/>
      </w:tblGrid>
      <w:tr>
        <w:trPr>
          <w:cantSplit/>
          <w:tblHeader w:val="true"/>
        </w:trPr>
        <w:tc>
          <w:tcPr>
            <w:tcW w:type="dxa" w:w="170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Status</w:t>
            </w:r>
          </w:p>
        </w:tc>
        <w:tc>
          <w:tcPr>
            <w:tcW w:type="dxa" w:w="294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When to use</w:t>
            </w:r>
          </w:p>
        </w:tc>
        <w:tc>
          <w:tcPr>
            <w:tcW w:type="dxa" w:w="266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Record required</w:t>
            </w:r>
          </w:p>
        </w:tc>
        <w:tc>
          <w:tcPr>
            <w:tcW w:type="dxa" w:w="232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4"/>
              </w:rPr>
              <w:t>Next action</w:t>
            </w:r>
          </w:p>
        </w:tc>
      </w:tr>
      <w:tr>
        <w:trPr>
          <w:cantSplit/>
        </w:trPr>
        <w:tc>
          <w:tcPr>
            <w:tcW w:type="dxa" w:w="170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Completed</w:t>
            </w:r>
          </w:p>
        </w:tc>
        <w:tc>
          <w:tcPr>
            <w:tcW w:type="dxa" w:w="294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The test input produced observable behaviour.</w:t>
            </w:r>
          </w:p>
        </w:tc>
        <w:tc>
          <w:tcPr>
            <w:tcW w:type="dxa" w:w="266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Input, behaviour and review judgement.</w:t>
            </w:r>
          </w:p>
        </w:tc>
        <w:tc>
          <w:tcPr>
            <w:tcW w:type="dxa" w:w="232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Continue to the next mission.</w:t>
            </w:r>
          </w:p>
        </w:tc>
      </w:tr>
      <w:tr>
        <w:trPr>
          <w:cantSplit/>
        </w:trPr>
        <w:tc>
          <w:tcPr>
            <w:tcW w:type="dxa" w:w="170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Blocked — access</w:t>
            </w:r>
          </w:p>
        </w:tc>
        <w:tc>
          <w:tcPr>
            <w:tcW w:type="dxa" w:w="294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The prototype cannot open, start or reset after the brief recovery attempt.</w:t>
            </w:r>
          </w:p>
        </w:tc>
        <w:tc>
          <w:tcPr>
            <w:tcW w:type="dxa" w:w="266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Test ID and exact access problem.</w:t>
            </w:r>
          </w:p>
        </w:tc>
        <w:tc>
          <w:tcPr>
            <w:tcW w:type="dxa" w:w="232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Use only a verified same-state paper backup linked to the Part 3 Test Brief; otherwise record the missing test and select RETEST NEEDED before Part 5.</w:t>
            </w:r>
          </w:p>
        </w:tc>
      </w:tr>
      <w:tr>
        <w:trPr>
          <w:cantSplit/>
        </w:trPr>
        <w:tc>
          <w:tcPr>
            <w:tcW w:type="dxa" w:w="170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Blocked — evidence</w:t>
            </w:r>
          </w:p>
        </w:tc>
        <w:tc>
          <w:tcPr>
            <w:tcW w:type="dxa" w:w="294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The response was not visible, saved or accurately observable.</w:t>
            </w:r>
          </w:p>
        </w:tc>
        <w:tc>
          <w:tcPr>
            <w:tcW w:type="dxa" w:w="266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What prevented reliable recording.</w:t>
            </w:r>
          </w:p>
        </w:tc>
        <w:tc>
          <w:tcPr>
            <w:tcW w:type="dxa" w:w="232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4"/>
              </w:rPr>
              <w:t>Repeat once if time permits; otherwise Retest Needed.</w:t>
            </w:r>
          </w:p>
        </w:tc>
      </w:tr>
      <w:tr>
        <w:trPr>
          <w:cantSplit/>
        </w:trPr>
        <w:tc>
          <w:tcPr>
            <w:tcW w:type="dxa" w:w="1701"/>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Known limitation confirmed</w:t>
            </w:r>
          </w:p>
        </w:tc>
        <w:tc>
          <w:tcPr>
            <w:tcW w:type="dxa" w:w="2948"/>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The Part 3 technical limitation affects the test.</w:t>
            </w:r>
          </w:p>
        </w:tc>
        <w:tc>
          <w:tcPr>
            <w:tcW w:type="dxa" w:w="266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Test ID and observed impact.</w:t>
            </w:r>
          </w:p>
        </w:tc>
        <w:tc>
          <w:tcPr>
            <w:tcW w:type="dxa" w:w="2324"/>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4"/>
              </w:rPr>
              <w:t>Include it in the Part 5 evidence package; do not silently repair it.</w:t>
            </w:r>
          </w:p>
        </w:tc>
      </w:tr>
    </w:tbl>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9.</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OPTIONAL GENAI EVIDENCE CHALLENGE</w:t>
            </w:r>
          </w:p>
        </w:tc>
      </w:tr>
    </w:tbl>
    <w:p>
      <w:pPr>
        <w:spacing w:before="0" w:after="60" w:line="240" w:lineRule="auto"/>
        <w:ind w:left="0" w:right="0"/>
      </w:pPr>
      <w:r>
        <w:rPr>
          <w:rFonts w:ascii="Arial" w:hAnsi="Arial" w:eastAsia="Arial"/>
          <w:b w:val="0"/>
          <w:i w:val="0"/>
          <w:color w:val="000000"/>
          <w:sz w:val="17"/>
        </w:rPr>
        <w:t>GenAI is optional in Part 4. It may be used only after all four test missions, the tester review and the creators’ initial decision have been completed independently. The teacher uses one school-approved tool, preferably through a teacher-controlled demonstration or account where local policy requires it.</w:t>
      </w:r>
    </w:p>
    <w:tbl>
      <w:tblPr>
        <w:tblW w:type="auto" w:w="0"/>
        <w:jc w:val="center"/>
        <w:tblLook w:firstColumn="1" w:firstRow="1" w:lastColumn="0" w:lastRow="0" w:noHBand="0" w:noVBand="1" w:val="04A0"/>
      </w:tblPr>
      <w:tblGrid>
        <w:gridCol w:w="9360"/>
      </w:tblGrid>
      <w:tr>
        <w:trPr>
          <w:cantSplit/>
        </w:trPr>
        <w:tc>
          <w:tcPr>
            <w:tcW w:type="dxa" w:w="9360"/>
            <w:shd w:fill="FCE4D6" w:val="clear"/>
            <w:tcMar>
              <w:top w:w="85" w:type="dxa"/>
              <w:start w:w="100" w:type="dxa"/>
              <w:bottom w:w="85" w:type="dxa"/>
              <w:end w:w="100" w:type="dxa"/>
            </w:tcMar>
            <w:tcBorders>
              <w:top w:val="single" w:sz="5" w:color="9FBAD0"/>
              <w:left w:val="single" w:sz="5" w:color="9FBAD0"/>
              <w:bottom w:val="single" w:sz="5" w:color="9FBAD0"/>
              <w:right w:val="single" w:sz="5" w:color="9FBAD0"/>
            </w:tcBorders>
          </w:tcPr>
          <w:p>
            <w:pPr>
              <w:spacing w:before="0" w:after="20" w:line="240" w:lineRule="auto"/>
              <w:ind w:left="0" w:right="0"/>
            </w:pPr>
            <w:r>
              <w:rPr>
                <w:rFonts w:ascii="Arial" w:hAnsi="Arial" w:eastAsia="Arial"/>
                <w:b/>
                <w:i w:val="0"/>
                <w:color w:val="0E4F6C"/>
                <w:sz w:val="17"/>
              </w:rPr>
              <w:t>Human-first gate</w:t>
            </w:r>
          </w:p>
          <w:p>
            <w:pPr>
              <w:spacing w:before="0" w:after="0" w:line="240" w:lineRule="auto"/>
              <w:ind w:left="0" w:right="0"/>
            </w:pPr>
            <w:r>
              <w:rPr>
                <w:rFonts w:ascii="Arial" w:hAnsi="Arial" w:eastAsia="Arial"/>
                <w:b w:val="0"/>
                <w:i w:val="0"/>
                <w:color w:val="000000"/>
                <w:sz w:val="17"/>
              </w:rPr>
              <w:t>NO STUDENT EVIDENCE → NO GENAI REVIEW. GenAI does not create test findings, replace observation, decide Improve or Keep, or write the Part 5 solution.</w:t>
            </w:r>
          </w:p>
        </w:tc>
      </w:tr>
    </w:tbl>
    <w:p>
      <w:pPr>
        <w:pStyle w:val="4"/>
        <w:spacing w:before="80" w:after="60" w:line="240" w:lineRule="auto"/>
        <w:ind w:left="0" w:right="0"/>
        <w:keepNext/>
      </w:pPr>
      <w:r>
        <w:rPr>
          <w:rFonts w:ascii="Arial" w:hAnsi="Arial" w:eastAsia="Arial"/>
          <w:b/>
          <w:i w:val="0"/>
          <w:color w:val="0E4F6C"/>
          <w:sz w:val="20"/>
        </w:rPr>
        <w:t>Reusable prompt frame</w:t>
      </w:r>
    </w:p>
    <w:tbl>
      <w:tblPr>
        <w:tblW w:type="auto" w:w="0"/>
        <w:jc w:val="center"/>
        <w:tblLook w:firstColumn="1" w:firstRow="1" w:lastColumn="0" w:lastRow="0" w:noHBand="0" w:noVBand="1" w:val="04A0"/>
      </w:tblPr>
      <w:tblGrid>
        <w:gridCol w:w="9360"/>
      </w:tblGrid>
      <w:tr>
        <w:trPr>
          <w:cantSplit/>
        </w:trPr>
        <w:tc>
          <w:tcPr>
            <w:tcW w:type="dxa" w:w="9360"/>
            <w:shd w:fill="E4DFEC" w:val="clear"/>
            <w:tcMar>
              <w:top w:w="85" w:type="dxa"/>
              <w:start w:w="100" w:type="dxa"/>
              <w:bottom w:w="85" w:type="dxa"/>
              <w:end w:w="100" w:type="dxa"/>
            </w:tcMar>
            <w:tcBorders>
              <w:top w:val="single" w:sz="5" w:color="9FBAD0"/>
              <w:left w:val="single" w:sz="5" w:color="9FBAD0"/>
              <w:bottom w:val="single" w:sz="5" w:color="9FBAD0"/>
              <w:right w:val="single" w:sz="5" w:color="9FBAD0"/>
            </w:tcBorders>
          </w:tcPr>
          <w:p>
            <w:pPr>
              <w:spacing w:before="0" w:after="20" w:line="240" w:lineRule="auto"/>
              <w:ind w:left="0" w:right="0"/>
            </w:pPr>
            <w:r>
              <w:rPr>
                <w:rFonts w:ascii="Arial" w:hAnsi="Arial" w:eastAsia="Arial"/>
                <w:b/>
                <w:i w:val="0"/>
                <w:color w:val="0E4F6C"/>
                <w:sz w:val="16"/>
              </w:rPr>
              <w:t>Optional prompt</w:t>
            </w:r>
          </w:p>
          <w:p>
            <w:pPr>
              <w:spacing w:before="0" w:after="0" w:line="240" w:lineRule="auto"/>
              <w:ind w:left="0" w:right="0"/>
            </w:pPr>
            <w:r>
              <w:rPr>
                <w:rFonts w:ascii="Arial" w:hAnsi="Arial" w:eastAsia="Arial"/>
                <w:b w:val="0"/>
                <w:i w:val="0"/>
                <w:color w:val="000000"/>
                <w:sz w:val="16"/>
              </w:rPr>
              <w:t>We tested a simple chatbot using four safe inputs. Our evidence is: [evidence from all four test missions only]. Our initial decision is [Improve in Part 5 / Keep as designed] because [evidence reference and reason]. Act as an evidence challenger and bias critic. Ask one question about a possible overlooked clarity, usefulness, fallback, limitation/safety or fairness issue. Do not write a new response, code, revision or final decision.</w:t>
            </w:r>
          </w:p>
        </w:tc>
      </w:tr>
    </w:tbl>
    <w:tbl>
      <w:tblPr>
        <w:tblStyle w:val="ab"/>
        <w:tblW w:type="auto" w:w="0"/>
        <w:jc w:val="center"/>
        <w:tblLook w:firstColumn="1" w:firstRow="1" w:lastColumn="0" w:lastRow="0" w:noHBand="0" w:noVBand="1" w:val="04A0"/>
      </w:tblPr>
      <w:tblGrid>
        <w:gridCol w:w="4680"/>
        <w:gridCol w:w="4680"/>
      </w:tblGrid>
      <w:tr>
        <w:trPr>
          <w:cantSplit/>
          <w:tblHeader w:val="true"/>
        </w:trPr>
        <w:tc>
          <w:tcPr>
            <w:tcW w:type="dxa" w:w="34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Student response to the GenAI challenge</w:t>
            </w:r>
          </w:p>
        </w:tc>
        <w:tc>
          <w:tcPr>
            <w:tcW w:type="dxa" w:w="6236"/>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Meaning</w:t>
            </w:r>
          </w:p>
        </w:tc>
      </w:tr>
      <w:tr>
        <w:trPr>
          <w:cantSplit/>
        </w:trPr>
        <w:tc>
          <w:tcPr>
            <w:tcW w:type="dxa" w:w="34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ACCEPT</w:t>
            </w:r>
          </w:p>
        </w:tc>
        <w:tc>
          <w:tcPr>
            <w:tcW w:type="dxa" w:w="6236"/>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The challenge identifies a relevant issue already supported by our recorded prototype evidence.</w:t>
            </w:r>
          </w:p>
        </w:tc>
      </w:tr>
      <w:tr>
        <w:trPr>
          <w:cantSplit/>
        </w:trPr>
        <w:tc>
          <w:tcPr>
            <w:tcW w:type="dxa" w:w="34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ADAPT</w:t>
            </w:r>
          </w:p>
        </w:tc>
        <w:tc>
          <w:tcPr>
            <w:tcW w:type="dxa" w:w="6236"/>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The challenge is partly useful, but we narrow or correct it to match our evidence.</w:t>
            </w:r>
          </w:p>
        </w:tc>
      </w:tr>
      <w:tr>
        <w:trPr>
          <w:cantSplit/>
        </w:trPr>
        <w:tc>
          <w:tcPr>
            <w:tcW w:type="dxa" w:w="34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REJECT</w:t>
            </w:r>
          </w:p>
        </w:tc>
        <w:tc>
          <w:tcPr>
            <w:tcW w:type="dxa" w:w="6236"/>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The challenge is unsupported, outside scope, too broad or asks for refinement before Part 5.</w:t>
            </w:r>
          </w:p>
        </w:tc>
      </w:tr>
    </w:tbl>
    <w:p>
      <w:pPr>
        <w:spacing w:before="0" w:after="60" w:line="240" w:lineRule="auto"/>
        <w:ind w:left="0" w:right="0"/>
      </w:pPr>
      <w:r>
        <w:rPr>
          <w:rFonts w:ascii="Arial" w:hAnsi="Arial" w:eastAsia="Arial"/>
          <w:b w:val="0"/>
          <w:i w:val="0"/>
          <w:color w:val="000000"/>
          <w:sz w:val="17"/>
        </w:rPr>
        <w:t>GenAI output is not evidence. A challenge may improve the quality of the creators’ reasoning, but the actual prototype tests remain the evidence base.</w:t>
      </w:r>
    </w:p>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10.</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PART 4 → PART 5 CONTINUITY</w:t>
            </w:r>
          </w:p>
        </w:tc>
      </w:tr>
    </w:tbl>
    <w:p>
      <w:pPr>
        <w:spacing w:before="0" w:after="60" w:line="240" w:lineRule="auto"/>
        <w:ind w:left="0" w:right="0"/>
      </w:pPr>
      <w:r>
        <w:rPr>
          <w:rFonts w:ascii="Arial" w:hAnsi="Arial" w:eastAsia="Arial"/>
          <w:b w:val="0"/>
          <w:i w:val="0"/>
          <w:color w:val="000000"/>
          <w:sz w:val="17"/>
        </w:rPr>
        <w:t>No separate handover card is required. The saved prototype, Part 3 Test Brief and completed Part 4 Independent Test and Review Record form one coherent Part 5 evidence package.</w:t>
      </w:r>
    </w:p>
    <w:tbl>
      <w:tblPr>
        <w:tblStyle w:val="ab"/>
        <w:tblW w:type="auto" w:w="0"/>
        <w:jc w:val="center"/>
        <w:tblLook w:firstColumn="1" w:firstRow="1" w:lastColumn="0" w:lastRow="0" w:noHBand="0" w:noVBand="1" w:val="04A0"/>
      </w:tblPr>
      <w:tblGrid>
        <w:gridCol w:w="4680"/>
        <w:gridCol w:w="4680"/>
      </w:tblGrid>
      <w:tr>
        <w:trPr>
          <w:cantSplit/>
          <w:tblHeader w:val="true"/>
        </w:trPr>
        <w:tc>
          <w:tcPr>
            <w:tcW w:type="dxa" w:w="51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Part 5 must receive</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1F4E79" w:val="clear"/>
          </w:tcPr>
          <w:p>
            <w:pPr>
              <w:spacing w:before="0" w:after="0" w:line="240" w:lineRule="auto"/>
              <w:ind w:left="0" w:right="0"/>
            </w:pPr>
            <w:r>
              <w:rPr>
                <w:rFonts w:ascii="Arial" w:hAnsi="Arial" w:eastAsia="Arial"/>
                <w:b/>
                <w:i w:val="0"/>
                <w:color w:val="FFFFFF"/>
                <w:sz w:val="15"/>
              </w:rPr>
              <w:t>Where it is found</w:t>
            </w:r>
          </w:p>
        </w:tc>
      </w:tr>
      <w:tr>
        <w:trPr>
          <w:cantSplit/>
        </w:trPr>
        <w:tc>
          <w:tcPr>
            <w:tcW w:type="dxa" w:w="51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Prototype identity, target user, purpose and access method</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Part 3 Test Brief and prototype</w:t>
            </w:r>
          </w:p>
        </w:tc>
      </w:tr>
      <w:tr>
        <w:trPr>
          <w:cantSplit/>
        </w:trPr>
        <w:tc>
          <w:tcPr>
            <w:tcW w:type="dxa" w:w="51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Part 1 principle and exact principle-test idea</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Part 3 Test Brief; Part 1 Principle-Specific Test result in the Part 4 Independent Test and Review Record</w:t>
            </w:r>
          </w:p>
        </w:tc>
      </w:tr>
      <w:tr>
        <w:trPr>
          <w:cantSplit/>
        </w:trPr>
        <w:tc>
          <w:tcPr>
            <w:tcW w:type="dxa" w:w="51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Expected observable behaviour</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Part 3 Test Brief</w:t>
            </w:r>
          </w:p>
        </w:tc>
      </w:tr>
      <w:tr>
        <w:trPr>
          <w:cantSplit/>
        </w:trPr>
        <w:tc>
          <w:tcPr>
            <w:tcW w:type="dxa" w:w="51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exact inputs and observed behaviours from all four test missions</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Part 4 Independent Test and Review Record test evidence pages</w:t>
            </w:r>
          </w:p>
        </w:tc>
      </w:tr>
      <w:tr>
        <w:trPr>
          <w:cantSplit/>
        </w:trPr>
        <w:tc>
          <w:tcPr>
            <w:tcW w:type="dxa" w:w="51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Review matrix, Verified Strength and Priority Review Finding</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Part 4 Independent Test and Review Record tester review</w:t>
            </w:r>
          </w:p>
        </w:tc>
      </w:tr>
      <w:tr>
        <w:trPr>
          <w:cantSplit/>
        </w:trPr>
        <w:tc>
          <w:tcPr>
            <w:tcW w:type="dxa" w:w="51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Improve or Keep decision and evidence reference</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Part 4 Independent Test and Review Record creator review</w:t>
            </w:r>
          </w:p>
        </w:tc>
      </w:tr>
      <w:tr>
        <w:trPr>
          <w:cantSplit/>
        </w:trPr>
        <w:tc>
          <w:tcPr>
            <w:tcW w:type="dxa" w:w="51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Exact verification input reserved for Part 5</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Part 4 Independent Test and Review Record embedded handover</w:t>
            </w:r>
          </w:p>
        </w:tc>
      </w:tr>
      <w:tr>
        <w:trPr>
          <w:cantSplit/>
        </w:trPr>
        <w:tc>
          <w:tcPr>
            <w:tcW w:type="dxa" w:w="51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Known technical limitation or blocked test</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EEF6FA" w:val="clear"/>
          </w:tcPr>
          <w:p>
            <w:pPr>
              <w:spacing w:before="0" w:after="0" w:line="240" w:lineRule="auto"/>
              <w:ind w:left="0" w:right="0"/>
            </w:pPr>
            <w:r>
              <w:rPr>
                <w:rFonts w:ascii="Arial" w:hAnsi="Arial" w:eastAsia="Arial"/>
                <w:b w:val="0"/>
                <w:i w:val="0"/>
                <w:color w:val="000000"/>
                <w:sz w:val="15"/>
              </w:rPr>
              <w:t>Part 3 Test Brief and/or Part 4 Independent Test and Review Record</w:t>
            </w:r>
          </w:p>
        </w:tc>
      </w:tr>
      <w:tr>
        <w:trPr>
          <w:cantSplit/>
        </w:trPr>
        <w:tc>
          <w:tcPr>
            <w:tcW w:type="dxa" w:w="5102"/>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Privacy status and optional GenAI trace</w:t>
            </w:r>
          </w:p>
        </w:tc>
        <w:tc>
          <w:tcPr>
            <w:tcW w:type="dxa" w:w="4535"/>
            <w:vAlign w:val="center"/>
            <w:tcMar>
              <w:top w:w="70" w:type="dxa"/>
              <w:start w:w="90" w:type="dxa"/>
              <w:bottom w:w="70" w:type="dxa"/>
              <w:end w:w="90" w:type="dxa"/>
            </w:tcMar>
            <w:tcBorders>
              <w:top w:val="single" w:sz="4" w:color="B7C9D6"/>
              <w:left w:val="single" w:sz="4" w:color="B7C9D6"/>
              <w:bottom w:val="single" w:sz="4" w:color="B7C9D6"/>
              <w:right w:val="single" w:sz="4" w:color="B7C9D6"/>
            </w:tcBorders>
            <w:shd w:fill="FFFFFF" w:val="clear"/>
          </w:tcPr>
          <w:p>
            <w:pPr>
              <w:spacing w:before="0" w:after="0" w:line="240" w:lineRule="auto"/>
              <w:ind w:left="0" w:right="0"/>
            </w:pPr>
            <w:r>
              <w:rPr>
                <w:rFonts w:ascii="Arial" w:hAnsi="Arial" w:eastAsia="Arial"/>
                <w:b w:val="0"/>
                <w:i w:val="0"/>
                <w:color w:val="000000"/>
                <w:sz w:val="15"/>
              </w:rPr>
              <w:t>Part 4 Independent Test and Review Record handover page</w:t>
            </w:r>
          </w:p>
        </w:tc>
      </w:tr>
    </w:tbl>
    <w:tbl>
      <w:tblPr>
        <w:tblW w:type="auto" w:w="0"/>
        <w:jc w:val="center"/>
        <w:tblLook w:firstColumn="1" w:firstRow="1" w:lastColumn="0" w:lastRow="0" w:noHBand="0" w:noVBand="1" w:val="04A0"/>
      </w:tblPr>
      <w:tblGrid>
        <w:gridCol w:w="9360"/>
      </w:tblGrid>
      <w:tr>
        <w:trPr>
          <w:cantSplit/>
        </w:trPr>
        <w:tc>
          <w:tcPr>
            <w:tcW w:type="dxa" w:w="9360"/>
            <w:shd w:fill="E2F0D9" w:val="clear"/>
            <w:tcMar>
              <w:top w:w="85" w:type="dxa"/>
              <w:start w:w="100" w:type="dxa"/>
              <w:bottom w:w="85" w:type="dxa"/>
              <w:end w:w="100" w:type="dxa"/>
            </w:tcMar>
            <w:tcBorders>
              <w:top w:val="single" w:sz="5" w:color="9FBAD0"/>
              <w:left w:val="single" w:sz="5" w:color="9FBAD0"/>
              <w:bottom w:val="single" w:sz="5" w:color="9FBAD0"/>
              <w:right w:val="single" w:sz="5" w:color="9FBAD0"/>
            </w:tcBorders>
          </w:tcPr>
          <w:p>
            <w:pPr>
              <w:spacing w:before="0" w:after="20" w:line="240" w:lineRule="auto"/>
              <w:ind w:left="0" w:right="0"/>
            </w:pPr>
            <w:r>
              <w:rPr>
                <w:rFonts w:ascii="Arial" w:hAnsi="Arial" w:eastAsia="Arial"/>
                <w:b/>
                <w:i w:val="0"/>
                <w:color w:val="0E4F6C"/>
                <w:sz w:val="17"/>
              </w:rPr>
              <w:t>Handover complete</w:t>
            </w:r>
          </w:p>
          <w:p>
            <w:pPr>
              <w:spacing w:before="0" w:after="0" w:line="240" w:lineRule="auto"/>
              <w:ind w:left="0" w:right="0"/>
            </w:pPr>
            <w:r>
              <w:rPr>
                <w:rFonts w:ascii="Arial" w:hAnsi="Arial" w:eastAsia="Arial"/>
                <w:b w:val="0"/>
                <w:i w:val="0"/>
                <w:color w:val="000000"/>
                <w:sz w:val="17"/>
              </w:rPr>
              <w:t>Part 5 may begin only when the prototype, Part 3 Test Brief and completed Part 4 record can be located together. If a mandatory test is blocked and no defensible decision is possible, complete the missing evidence before refinement.</w:t>
            </w:r>
          </w:p>
        </w:tc>
      </w:tr>
    </w:tbl>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11.</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CRITICAL THINKING OPPORTUNITIES</w:t>
            </w:r>
          </w:p>
        </w:tc>
      </w:tr>
    </w:tbl>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How is an observed behaviour different from an opinion about the chatbot?</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Why can the same response be technically correct but unclear or unhelpful to a new user?</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What does a fallback need to do beyond saying that the input was not understood?</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When should a chatbot state a limitation rather than attempt an answer?</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How much evidence is enough to justify one specific change? How much would be needed for a broad claim about bias or fairness?</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Why is Keep as designed a legitimate evidence-based decision?</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How does independent testing protect the project from creator assumptions?</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Why must the verification input be chosen before Part 5 changes the prototype?</w:t>
      </w:r>
    </w:p>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12.</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PREPARING THE DATA SET — IF APPLICABLE</w:t>
            </w:r>
          </w:p>
        </w:tc>
      </w:tr>
    </w:tbl>
    <w:p>
      <w:pPr>
        <w:spacing w:before="0" w:after="60" w:line="240" w:lineRule="auto"/>
        <w:ind w:left="0" w:right="0"/>
      </w:pPr>
      <w:r>
        <w:rPr>
          <w:rFonts w:ascii="Arial" w:hAnsi="Arial" w:eastAsia="Arial"/>
          <w:b w:val="0"/>
          <w:i w:val="0"/>
          <w:color w:val="000000"/>
          <w:sz w:val="17"/>
        </w:rPr>
        <w:t>Part 4 does not require a shared student dataset. The relevant evidence is contained in the prototype, Test Brief and group record. If a teacher uses a digital form to collect outcomes, record only anonymous group codes, route, completion status, decision type and bounded finding categories. Do not collect student names, personal prompts or sensitive content.</w:t>
      </w:r>
    </w:p>
    <w:tbl>
      <w:tblPr>
        <w:tblW w:type="auto" w:w="0"/>
        <w:jc w:val="center"/>
        <w:tblLayout w:type="fixed"/>
        <w:tblLook w:firstColumn="1" w:firstRow="1" w:lastColumn="0" w:lastRow="0" w:noHBand="0" w:noVBand="1" w:val="04A0"/>
      </w:tblPr>
      <w:tblGrid>
        <w:gridCol w:w="680"/>
        <w:gridCol w:w="8957"/>
      </w:tblGrid>
      <w:tr>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jc w:val="right"/>
              <w:keepNext/>
            </w:pPr>
            <w:r>
              <w:rPr>
                <w:rFonts w:ascii="Arial" w:hAnsi="Arial" w:eastAsia="Arial"/>
                <w:b/>
                <w:i w:val="0"/>
                <w:color w:val="0E4F6C"/>
                <w:sz w:val="19"/>
              </w:rPr>
              <w:t>13.</w:t>
            </w:r>
          </w:p>
        </w:tc>
        <w:tc>
          <w:tcPr>
            <w:tcW w:type="dxa" w:w="4680"/>
            <w:shd w:fill="F1F3F4" w:val="clear"/>
            <w:tcMar>
              <w:top w:w="40" w:type="dxa"/>
              <w:start w:w="70" w:type="dxa"/>
              <w:bottom w:w="40" w:type="dxa"/>
              <w:end w:w="70" w:type="dxa"/>
            </w:tcMar>
            <w:tcBorders>
              <w:top w:val="nil"/>
              <w:left w:val="nil"/>
              <w:bottom w:val="nil"/>
              <w:right w:val="nil"/>
            </w:tcBorders>
          </w:tcPr>
          <w:p>
            <w:pPr>
              <w:spacing w:before="0" w:after="0" w:line="240" w:lineRule="auto"/>
              <w:ind w:left="0" w:right="0"/>
              <w:keepNext/>
            </w:pPr>
            <w:r>
              <w:rPr>
                <w:rFonts w:ascii="Arial" w:hAnsi="Arial" w:eastAsia="Arial"/>
                <w:b/>
                <w:i w:val="0"/>
                <w:color w:val="0E4F6C"/>
                <w:sz w:val="19"/>
              </w:rPr>
              <w:t>TEACHER NOTES</w:t>
            </w:r>
          </w:p>
        </w:tc>
      </w:tr>
    </w:tbl>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Treat 45 minutes as the standard only when preparation is complete; otherwise use 60 minutes or split the lesson rather than compressing evidence collection.</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Do not describe the routes or timing as classroom-validated unless a separate pilot has actually occurred.</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One common route reduces device, access and support delays.</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Keep a paper backup ready only when it has been completed and verified against the same prototype state before Part 4.</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Collect only the selected route card; do not overwhelm students with all route instructions.</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The teacher does not need to judge every response during the lesson. The main quality-control questions are: Was the evidence observable? Is the conclusion bounded? Does the decision cite a test mission?</w:t>
      </w:r>
    </w:p>
    <w:p>
      <w:pPr>
        <w:pStyle w:val="a7"/>
        <w:spacing w:before="0" w:after="30" w:line="240" w:lineRule="auto"/>
        <w:ind w:left="0" w:right="0"/>
      </w:pPr>
      <w:r>
        <w:rPr>
          <w:rFonts w:ascii="Arial" w:hAnsi="Arial" w:eastAsia="Arial"/>
          <w:b/>
          <w:i w:val="0"/>
          <w:color w:val="000000"/>
          <w:sz w:val="16"/>
        </w:rPr>
        <w:t xml:space="preserve">• </w:t>
      </w:r>
      <w:r>
        <w:rPr>
          <w:rFonts w:ascii="Arial" w:hAnsi="Arial" w:eastAsia="Arial"/>
          <w:b w:val="0"/>
          <w:i w:val="0"/>
          <w:color w:val="000000"/>
          <w:sz w:val="16"/>
        </w:rPr>
        <w:t>Part 4 is complete when the evidence package can drive Part 5 without recreating the review.</w:t>
      </w:r>
    </w:p>
    <w:sectPr>
      <w:headerReference w:type="default" r:id="rId7"/>
      <w:footerReference w:type="default" r:id="rId10"/>
      <w:headerReference w:type="first" r:id="rId13"/>
      <w:headerReference w:type="even" r:id="rId14"/>
      <w:footerReference w:type="first" r:id="rId15"/>
      <w:footerReference w:type="even"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163D6" w14:textId="77777777">
      <w:pPr>
        <w:spacing w:after="0" w:line="240" w:lineRule="auto"/>
      </w:pPr>
      <w:r>
        <w:separator/>
      </w:r>
    </w:p>
  </w:endnote>
  <w:endnote w:type="continuationSeparator" w:id="0">
    <w:p w14:paraId="0429C5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color w:val="777777"/>
        <w:sz w:val="16"/>
      </w:rPr>
      <w:t>GenSTEAMers | Chatting with AI | PART 4</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8B2AD" w14:textId="77777777">
      <w:pPr>
        <w:spacing w:after="0" w:line="240" w:lineRule="auto"/>
      </w:pPr>
      <w:r>
        <w:separator/>
      </w:r>
    </w:p>
  </w:footnote>
  <w:footnote w:type="continuationSeparator" w:id="0">
    <w:p w14:paraId="6D8A3FF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4D77" w14:textId="77777777">
    <w:pPr>
      <w:rPr>
        <w:lang w:val="el-GR"/>
      </w:rPr>
    </w:pPr>
    <w:r>
      <w:rPr>
        <w:noProof/>
      </w:rPr>
      <w:drawing>
        <wp:inline distT="114300" distB="114300" distL="114300" distR="114300" wp14:anchorId="3A09A2F9" wp14:editId="1EBE0041">
          <wp:extent cx="2392933" cy="257594"/>
          <wp:effectExtent l="0" t="0" r="0" b="9525"/>
          <wp:docPr id="1387441968" name="image1.png" descr="Image: numbering.xml"/>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42006"/>
    <w:rsid w:val="00147C8E"/>
    <w:rsid w:val="0015262E"/>
    <w:rsid w:val="00156017"/>
    <w:rsid w:val="001C198C"/>
    <w:rsid w:val="001C1B9D"/>
    <w:rsid w:val="0023797F"/>
    <w:rsid w:val="0026183F"/>
    <w:rsid w:val="00293AD3"/>
    <w:rsid w:val="00294110"/>
    <w:rsid w:val="00306B2D"/>
    <w:rsid w:val="00312484"/>
    <w:rsid w:val="00343D88"/>
    <w:rsid w:val="003D1774"/>
    <w:rsid w:val="00401453"/>
    <w:rsid w:val="00436A48"/>
    <w:rsid w:val="004632F8"/>
    <w:rsid w:val="00484D54"/>
    <w:rsid w:val="004B1726"/>
    <w:rsid w:val="004D1C73"/>
    <w:rsid w:val="004E1BDF"/>
    <w:rsid w:val="0053239B"/>
    <w:rsid w:val="00540E6D"/>
    <w:rsid w:val="0058130C"/>
    <w:rsid w:val="005A5552"/>
    <w:rsid w:val="005C5985"/>
    <w:rsid w:val="00602AF4"/>
    <w:rsid w:val="00687333"/>
    <w:rsid w:val="006B218C"/>
    <w:rsid w:val="0070094B"/>
    <w:rsid w:val="00723E8C"/>
    <w:rsid w:val="00731F66"/>
    <w:rsid w:val="00737E80"/>
    <w:rsid w:val="007A6029"/>
    <w:rsid w:val="007B05FB"/>
    <w:rsid w:val="007B40B3"/>
    <w:rsid w:val="007C73DB"/>
    <w:rsid w:val="007D48C9"/>
    <w:rsid w:val="00805C72"/>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27A36"/>
    <w:rsid w:val="00A520EC"/>
    <w:rsid w:val="00A66F5D"/>
    <w:rsid w:val="00A755CE"/>
    <w:rsid w:val="00A82E2B"/>
    <w:rsid w:val="00A8519E"/>
    <w:rsid w:val="00AD49B3"/>
    <w:rsid w:val="00B3310F"/>
    <w:rsid w:val="00B63CAF"/>
    <w:rsid w:val="00BA14AC"/>
    <w:rsid w:val="00BC2B68"/>
    <w:rsid w:val="00BF1286"/>
    <w:rsid w:val="00BF31C7"/>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B564F"/>
    <w:rsid w:val="00EE12F8"/>
    <w:rsid w:val="00EE61BA"/>
    <w:rsid w:val="00F02533"/>
    <w:rsid w:val="00F37CBA"/>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A101"/>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rPr>
      <w:rFonts w:ascii="Arial" w:hAnsi="Arial" w:eastAsia="Arial"/>
      <w:sz w:val="20"/>
    </w:r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2408</Words>
  <Characters>13729</Characters>
  <Application>Microsoft Office Word</Application>
  <DocSecurity>0</DocSecurity>
  <Lines>114</Lines>
  <Paragraphs>32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Full Pathway Part 4 Teacher Guide</dc:title>
  <dc:subject>GenSTEAMers | Chatting with AI | Full Pathway Part 4</dc:subject>
  <dc:creator/>
  <cp:keywords>GenSTEAMers, Chatting with AI, Full Pathway, Part 4, independent testing, evidence-based review</cp:keywords>
  <dc:description/>
  <cp:lastModifiedBy/>
  <cp:revision>78</cp:revision>
  <dcterms:created xsi:type="dcterms:W3CDTF">2026-06-13T12:51:00Z</dcterms:created>
  <dcterms:modified xsi:type="dcterms:W3CDTF">2026-07-22T18:23:02Z</dcterms:modified>
  <cp:category>GenSTEAMers educational material</cp:category>
</cp:coreProperties>
</file>