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737360" cy="513609"/>
            <wp:docPr id="1" name="Picture 1" descr="GenSTEAMers log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51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spacing w:before="0" w:after="160" w:line="252" w:lineRule="auto"/>
        <w:jc w:val="left"/>
      </w:pPr>
      <w:r>
        <w:rPr>
          <w:rFonts w:ascii="Arial" w:hAnsi="Arial" w:eastAsia="Arial"/>
          <w:b w:val="0"/>
          <w:i w:val="0"/>
          <w:color w:val="0E4F6C"/>
          <w:sz w:val="48"/>
        </w:rPr>
        <w:t>Option A — Scratch Implementation Guide</w:t>
      </w:r>
    </w:p>
    <w:p>
      <w:pPr>
        <w:spacing w:before="0" w:after="140" w:line="252" w:lineRule="auto"/>
      </w:pPr>
      <w:r>
        <w:rPr>
          <w:rFonts w:ascii="Arial" w:hAnsi="Arial" w:eastAsia="Arial"/>
          <w:b/>
          <w:i w:val="0"/>
          <w:color w:val="0E4F6C"/>
          <w:sz w:val="22"/>
        </w:rPr>
        <w:t>PART 3: Building the Prototype | Fully supported route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DDEBF7" w:val="clear"/>
            <w:tcBorders>
              <w:top w:val="single" w:sz="8" w:color="9CC2E5"/>
              <w:left w:val="single" w:sz="8" w:color="9CC2E5"/>
              <w:bottom w:val="single" w:sz="8" w:color="9CC2E5"/>
              <w:right w:val="single" w:sz="8" w:color="9CC2E5"/>
              <w:insideH w:val="single" w:sz="8" w:color="9CC2E5"/>
              <w:insideV w:val="single" w:sz="8" w:color="9CC2E5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1F4E79"/>
                <w:sz w:val="21"/>
              </w:rPr>
              <w:t>Purpose of this guide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This guide supports teachers and students in turning the approved Part 2 blueprint into a functioning Scratch prototype. It includes workspace orientation, the exact block categories, a screenshot-based build sequence, beginner access, saving, technical smoke checking and troubleshooting. Proper testing belongs to Part 4.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How to use this guide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Teachers read Sections 1–3 before the lesson and open the included Part3_Chatbot_Starter.sb3.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Beginners use Section 3 or the separate two-page Scratch Quick Start guide.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Students build with Sections 4–8 and the short Scratch Build Card.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Groups complete technical verification in the common Part 3 Prototype Build Record.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Do not use the smoke check to judge quality or make improvements.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DCF4" w:val="clear"/>
            <w:tcBorders>
              <w:top w:val="single" w:sz="8" w:color="B4A7D6"/>
              <w:left w:val="single" w:sz="8" w:color="B4A7D6"/>
              <w:bottom w:val="single" w:sz="8" w:color="B4A7D6"/>
              <w:right w:val="single" w:sz="8" w:color="B4A7D6"/>
              <w:insideH w:val="single" w:sz="8" w:color="B4A7D6"/>
              <w:insideV w:val="single" w:sz="8" w:color="B4A7D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030A0"/>
                <w:sz w:val="21"/>
              </w:rPr>
              <w:t>Core build rule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Keep the Part 2 worksheet open. Replace placeholders with the approved purpose, category names and responses. Do not create new content while coding.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1. What counts as a successful Scratch prototype?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A successful Part 3 Scratch prototype does not need advanced programming, animation or artificial intelligence. It needs visible, repeatable rule-based behaviour that another group can operate: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named chatbot sprite;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welcome message and purpose statement;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visible instruction with choices 1, 2 and 3, a 0 limits route, and a fallback for anything else;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ask and wait block;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three conditional content branches;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separate 0 limitation/safety route;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final fallback for any other input;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visible feature linked to the Part 1 principle;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anonymous save/access method; and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one completed technical build verification.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Why use 0?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The three content categories remain 1, 2 and 3. Choice 0 is not a fourth content category. It gives beginner prototypes a clear, separate way to display the chatbot’s limits, while any other unsupported input reaches fallback.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2. Before students open Scratch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488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Teacher readiness check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Ready when...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2 blueprint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Every group has pages 1–4 and is Ready to build or has one named repair.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Scratch access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Scratch opens; students can open/remix a project or work from a local file.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Core blocks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Teacher has located green flag, say, ask and wait, answer, if/else and =.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Starter/reference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included Part3_Chatbot_Starter.sb3 is preloaded and already contains the 1–2–3–0–other structure shown in this guide.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Saving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Teacher has tested remix/save or File → Save to your computer.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Contingency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paper prototype pack is available for blocked groups.</w:t>
            </w:r>
          </w:p>
        </w:tc>
      </w:tr>
    </w:tbl>
    <w:p>
      <w:pPr>
        <w:spacing w:after="0"/>
      </w:pP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Recommended beginner setup: one project per group, one included Full Pathway starter file, one device, one Part 2 worksheet, one Part 3 Build Record and one Scratch Build Card.</w:t>
      </w: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3. Scratch quick orientation for beginners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Students need only six parts of the interface and five block categories. Project the first image before devices open, then point to the same areas on the live screen.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46520" cy="2788900"/>
            <wp:docPr id="2" name="Picture 2" descr="Scratch workspace orientation showing the block categories, blocks palette, code area, Stage, sprite area, green flag and Stop butt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workspace_orient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78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1. Scratch workspace orientation: categories, blocks palette, code area, Stage, sprite area and green flag / Stop.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488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Area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What students do there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Block categories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Choose the type of block.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 Blocks palette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Find and drag the selected block.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 Code area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Connect blocks into the chatbot script.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 Stage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Watch what the sprite says and check the user experience.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 Sprite area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Select and rename the chatbot sprite.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 Green flag / Stop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 the prototype or stop the current run.</w:t>
            </w:r>
          </w:p>
        </w:tc>
      </w:tr>
    </w:tbl>
    <w:p>
      <w:pPr>
        <w:spacing w:after="0"/>
      </w:pP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20640" cy="4113301"/>
            <wp:docPr id="3" name="Picture 3" descr="The five Scratch block categories used in this task: Events, Looks, Sensing, Control and Operat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categories_highligh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2. The five categories used in this task: Events, Looks, Sensing, Control and Operators.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528"/>
        <w:gridCol w:w="4824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Blocks used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Events — yellow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when green flag clicked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Starts the chatbot.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Looks — purple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say [ ] for [ ] seconds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Displays the introduction, approved responses, fallback and limits.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Sensing — light blue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ask [ ] and wait; answer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Collects the user choice and reports what was entered.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Control — orange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if [ ] then / else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Routes the user to the correct response.</w:t>
            </w:r>
          </w:p>
        </w:tc>
      </w:tr>
      <w:tr>
        <w:trPr>
          <w:cantSplit/>
        </w:trPr>
        <w:tc>
          <w:tcPr>
            <w:tcW w:type="dxa" w:w="20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Operators — green</w:t>
            </w:r>
          </w:p>
        </w:tc>
        <w:tc>
          <w:tcPr>
            <w:tcW w:type="dxa" w:w="35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[answer] = [number]</w:t>
            </w:r>
          </w:p>
        </w:tc>
        <w:tc>
          <w:tcPr>
            <w:tcW w:type="dxa" w:w="48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Compares the user entry with 1, 2, 3 or 0. The = block is diamond-shaped.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2F3E8" w:val="clear"/>
            <w:tcBorders>
              <w:top w:val="single" w:sz="8" w:color="A9D18E"/>
              <w:left w:val="single" w:sz="8" w:color="A9D18E"/>
              <w:bottom w:val="single" w:sz="8" w:color="A9D18E"/>
              <w:right w:val="single" w:sz="8" w:color="A9D18E"/>
              <w:insideH w:val="single" w:sz="8" w:color="A9D18E"/>
              <w:insideV w:val="single" w:sz="8" w:color="A9D18E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375623"/>
                <w:sz w:val="21"/>
              </w:rPr>
              <w:t>Four beginner actions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DRAG a block from the palette → CONNECT it under the previous block → RUN with the green flag → SAVE before leaving. The shape guides the connection: stack blocks connect vertically, oval reporters fit inside inputs, and the green = operator is a diamond condition.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4. Screenshot-based build sequence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The screenshots are topic-neutral. Students replace bracketed placeholders with the approved Part 2 wording. The teacher may project each step and pause for a class checkpoint.</w:t>
      </w: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1 — Start the chatbot and introduce its purpose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3397"/>
            <wp:docPr id="4" name="Picture 4" descr="Scratch blocks that start the chatbot with the green flag and display the approved chatbot name, target user and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1_in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3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3. Add the green-flag start and the approved chatbot name, target user and purpose.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3600"/>
        <w:gridCol w:w="3888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What to add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Why it matters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Checkpoint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when green flag clicked</w:t>
            </w:r>
          </w:p>
        </w:tc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Provides a predictable start.</w:t>
            </w:r>
          </w:p>
        </w:tc>
        <w:tc>
          <w:tcPr>
            <w:tcW w:type="dxa" w:w="38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Green flag begins the script.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two short say blocks</w:t>
            </w:r>
          </w:p>
        </w:tc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Makes the approved identity and purpose visible.</w:t>
            </w:r>
          </w:p>
        </w:tc>
        <w:tc>
          <w:tcPr>
            <w:tcW w:type="dxa" w:w="38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Text matches Part 2; no new scope is added.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2 — Show the choices and collect one user entry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3907"/>
            <wp:docPr id="5" name="Picture 5" descr="Scratch blocks that display choices 1, 2, 3 and 0, then ask for the user's choice and wa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2_as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3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4. Display the 1–2–3–0 contract, then use ask and wait.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Use the approved category names in the menu sentence. Keep 0 as “see my limits” or an equivalent short label. The answer reporter stores the user entry automatically; students do not need a variable.</w:t>
      </w: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3 — Connect choices 1, 2 and 3 to the approved responses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4880" cy="5177984"/>
            <wp:docPr id="6" name="Picture 6" descr="Nested if-else blocks that connect choices 1, 2 and 3 to the approved category respon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3_categori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7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5. Build nested if/else branches for the three content categories.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48"/>
        <w:gridCol w:w="4320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Build action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Technical checkpoint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Place answer inside the left side of the green = operator.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blue oval answer reporter is inside the green diamond.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Type 1, 2 and 3 on the right side of the three conditions.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Each number appears once in the correct branch.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Paste or type the approved response in the purple say block.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Response wording matches the Part 2 worksheet.</w:t>
            </w:r>
          </w:p>
        </w:tc>
      </w:tr>
      <w:tr>
        <w:trPr>
          <w:cantSplit/>
        </w:trPr>
        <w:tc>
          <w:tcPr>
            <w:tcW w:type="dxa" w:w="604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Build one branch at a time and run it.</w:t>
            </w:r>
          </w:p>
        </w:tc>
        <w:tc>
          <w:tcPr>
            <w:tcW w:type="dxa" w:w="432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Technical checking during construction is allowed; quality judgement is not.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4 — Add a separate limitation route and the final fallback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2500459"/>
            <wp:docPr id="7" name="Picture 7" descr="Scratch blocks where choice 0 displays the approved limitation or safety response and the final else displays the fallback respon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step4_limits_fallba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6. Choice 0 displays the approved limitation/safety response; the final else is fallback.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776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Trigger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Behaviour</w:t>
            </w:r>
          </w:p>
        </w:tc>
      </w:tr>
      <w:tr>
        <w:trPr>
          <w:cantSplit/>
        </w:trPr>
        <w:tc>
          <w:tcPr>
            <w:tcW w:type="dxa" w:w="259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answer = 0</w:t>
            </w:r>
          </w:p>
        </w:tc>
        <w:tc>
          <w:tcPr>
            <w:tcW w:type="dxa" w:w="777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Say the exact approved limitation/safety response. It states the chatbot’s scope and points to a trusted human or reliable source where appropriate.</w:t>
            </w:r>
          </w:p>
        </w:tc>
      </w:tr>
      <w:tr>
        <w:trPr>
          <w:cantSplit/>
        </w:trPr>
        <w:tc>
          <w:tcPr>
            <w:tcW w:type="dxa" w:w="259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any other input</w:t>
            </w:r>
          </w:p>
        </w:tc>
        <w:tc>
          <w:tcPr>
            <w:tcW w:type="dxa" w:w="777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Say the approved fallback response and repeat how the user can continue, for example: “Choose 1, 2, 3, or 0.”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9CF" w:val="clear"/>
            <w:tcBorders>
              <w:top w:val="single" w:sz="8" w:color="E2A46B"/>
              <w:left w:val="single" w:sz="8" w:color="E2A46B"/>
              <w:bottom w:val="single" w:sz="8" w:color="E2A46B"/>
              <w:right w:val="single" w:sz="8" w:color="E2A46B"/>
              <w:insideH w:val="single" w:sz="8" w:color="E2A46B"/>
              <w:insideV w:val="single" w:sz="8" w:color="E2A46B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B56810"/>
                <w:sz w:val="21"/>
              </w:rPr>
              <w:t>Do not merge them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Fallback means “I did not understand or recognise that input.” Limitation means “This request is outside my job or needs a person/reliable source.” They require different triggers and different messages.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5 — Make the Part 1 principle visible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Use the planned visible feature from the Part 2 worksheet. Examples: a recovery-focused fallback, an honest limitation, a respectful response, a clearer start instruction or a category response that includes the information students found missing in Part 1. Do not invent a different feature during coding.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384"/>
        <w:gridCol w:w="3384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Part 1 principle example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Implementation location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Future Part 4 observation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good chatbot should help the user recover when it does not understand.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Final fallback say block repeats 1, 2, 3 and 0.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 unclear input should lead to usable next steps.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good chatbot should be honest about its limits.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answer = 0 branch.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limits route should state what the chatbot cannot do and where to seek help.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good chatbot should give clear, relevant information.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One approved category response.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supported input should reach the intended specific response.</w:t>
            </w:r>
          </w:p>
        </w:tc>
      </w:tr>
    </w:tbl>
    <w:p>
      <w:pPr>
        <w:spacing w:after="0"/>
      </w:pPr>
    </w:p>
    <w:p>
      <w:pPr>
        <w:pStyle w:val="3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Step 6 — Compare the complete script with the blueprint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4880" cy="7677486"/>
            <wp:docPr id="8" name="Picture 8" descr="Complete topic-neutral Part 3 Scratch structure with introduction, menu, three content branches, limitation route and fall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complete_generi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767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7. Topic-neutral complete Part 3 Scratch structure.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0800" cy="2986819"/>
            <wp:docPr id="9" name="Picture 9" descr="The complete chatbot script placed in the Scratch code are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full_workspace_composi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8. The complete structure placed in the Scratch code area.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The full script may look long because the if/else blocks are nested. Students should check it from top to bottom rather than moving blocks randomly. The content may differ by group; the minimum structure remains locked.</w:t>
      </w: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5. Worked completed example — Recycling Helper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The example is a model of structure, not a mandatory topic. It shows three content routes, a separate limits route and a recovery fallback.</w:t>
      </w: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37760" cy="5338390"/>
            <wp:docPr id="10" name="Picture 10" descr="Completed fictional, school-appropriate Scratch chatbot example showing the required Part 3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completed_examp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338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Figure 9. Completed example using fictional, school-appropriate content.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488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Part 2 element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Completed example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Purpose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Help a school user sort common waste.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1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Paper and cardboard.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2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Plastic bottles.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3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Batteries.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Limitation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Only these three materials are supported; ask an adult about other waste.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Input is not recognised; repeat 1, 2, 3 or 0.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Possible Part 1 feature</w:t>
            </w:r>
          </w:p>
        </w:tc>
        <w:tc>
          <w:tcPr>
            <w:tcW w:type="dxa" w:w="748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Helpful recovery through an explicit fallback.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6. Build verification — not proper testing</w:t>
      </w:r>
    </w:p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Use page 3 of the common Prototype Build Record. Run each route once only to confirm technical reachability.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8064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Check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What “Runs” means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Start/reset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Green flag begins from the introduction; Stop ends the run.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Instruction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User can see the available choices.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1, 2, 3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Each number reaches the matching approved response.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limitation/safety response appears.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Other input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fallback appears.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1 feature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planned block/message is present and reachable.</w:t>
            </w:r>
          </w:p>
        </w:tc>
      </w:tr>
      <w:tr>
        <w:trPr>
          <w:cantSplit/>
        </w:trPr>
        <w:tc>
          <w:tcPr>
            <w:tcW w:type="dxa" w:w="2304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Save/access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The group can locate the project after saving.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Do not record quality here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Do not ask “Was the answer useful?”, “Did the fallback work well?”, or “Should we improve this?” Those questions belong to independent testing and review in Part 4 and the decision in Part 5.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7. Saving and handing over the Scratch project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Use an anonymous title such as P3_Group04_LibraryHelper.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When signed in, use Save now and confirm the project appears in My Stuff or the teacher’s studio.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Without sign-in, use File → Save to your computer and store the .sb3 in the teacher-approved folder.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Open the saved project once before ending the session.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Record the link or filename on page 4 of the Build Record.</w:t>
      </w:r>
    </w:p>
    <w:p>
      <w:pPr>
        <w:pStyle w:val="a7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Do not publish publicly until the teacher checks usernames, comments, project text and privacy.</w:t>
      </w: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8. Common implementation problems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816"/>
        <w:gridCol w:w="3960"/>
      </w:tblGrid>
      <w:tr>
        <w:trPr>
          <w:tblHeader w:val="true"/>
        </w:trPr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Problem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Likely cause</w:t>
            </w:r>
          </w:p>
        </w:tc>
        <w:tc>
          <w:tcPr>
            <w:tcW w:type="dxa" w:w="34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Teacher response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Green flag does nothing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event block is not connected to the script.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Move the complete stack directly under when green flag clicked.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Every input gives fallback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answer reporter is missing, outside the = block, or the expected choice is typed differently.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Check the blue answer oval inside each green diamond and use plain 1, 2, 3 and 0.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response appears under the wrong choice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Nested branches were connected in the wrong order.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Read the conditions top to bottom and compare each say block with the blueprint.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0 gives fallback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answer = 0 branch is missing or placed after the final fallback.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Insert the 0 if/else before the last fallback.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Fallback and limits are identical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two Part 2 messages were merged.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Restore the exact limitation in the 0 branch and fallback in the final else.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Script runs only once or seems stuck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previous ask is waiting or the Stop button was not used.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Click Stop, then green flag. Do not add a forever loop for this minimum prototype.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Text is cut off too quickly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The say duration is too short for a long response.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Increase seconds as a technical display repair without rewriting the response.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Project cannot be found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Save method was not agreed or filename is unclear.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Use the standard group code, save again and reopen immediately.</w:t>
            </w:r>
          </w:p>
        </w:tc>
      </w:tr>
      <w:tr>
        <w:trPr>
          <w:cantSplit/>
        </w:trPr>
        <w:tc>
          <w:tcPr>
            <w:tcW w:type="dxa" w:w="259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Students start decorating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Core logic is incomplete.</w:t>
            </w:r>
          </w:p>
        </w:tc>
        <w:tc>
          <w:tcPr>
            <w:tcW w:type="dxa" w:w="39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Return to S1 implementation map; decoration is reserve work after save and verification.</w:t>
            </w:r>
          </w:p>
        </w:tc>
      </w:tr>
    </w:tbl>
    <w:p>
      <w:pPr>
        <w:spacing w:after="0"/>
      </w:pPr>
    </w:p>
    <w:p>
      <w:pPr>
        <w:pStyle w:val="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9. Final Scratch readiness checklist</w:t>
      </w:r>
    </w:p>
    <w:tbl>
      <w:tblPr>
        <w:tblStyle w:val="ab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 1–5</w:t>
            </w:r>
          </w:p>
        </w:tc>
        <w:tc>
          <w:tcPr>
            <w:tcW w:type="dxa" w:w="51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 6–10</w:t>
            </w:r>
          </w:p>
        </w:tc>
      </w:tr>
      <w:tr>
        <w:trPr>
          <w:cantSplit/>
        </w:trPr>
        <w:tc>
          <w:tcPr>
            <w:tcW w:type="dxa" w:w="51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☐ Part 2 blueprint remained the source of content.</w:t>
              <w:br/>
              <w:t>☐ Green flag start, purpose and user instruction are visible.</w:t>
              <w:br/>
              <w:t>☐ Choices 1, 2 and 3 reach the approved responses.</w:t>
              <w:br/>
              <w:t>☐ Choice 0 reaches limitation/safety.</w:t>
              <w:br/>
              <w:t>☐ Another unsupported input reaches fallback.</w:t>
            </w:r>
          </w:p>
        </w:tc>
        <w:tc>
          <w:tcPr>
            <w:tcW w:type="dxa" w:w="51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t>☐ The Part 1 visible feature is present.</w:t>
              <w:br/>
              <w:t>☐ The project starts, stops, resets and saves.</w:t>
              <w:br/>
              <w:t>☐ The anonymous link/filename is recorded.</w:t>
              <w:br/>
              <w:t>☐ Page 4 Test Brief is complete.</w:t>
              <w:br/>
              <w:t>☐ Proper testing, Improve/Keep and final reflection have not been completed early.</w:t>
              <w:br/>
              <w:t>☐ Recycling Helper wording is not left in the submitted prototype unless recycling is the group’s approved topic.</w:t>
            </w:r>
          </w:p>
        </w:tc>
      </w:tr>
    </w:tbl>
    <w:p>
      <w:pPr>
        <w:spacing w:after="0"/>
      </w:pPr>
    </w:p>
    <w:sectPr w:rsidR="00034518" w:rsidSect="00C62E61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11691" w14:textId="77777777" w:rsidR="00A65AA4" w:rsidRDefault="00A65AA4">
      <w:pPr>
        <w:spacing w:after="0" w:line="240" w:lineRule="auto"/>
      </w:pPr>
      <w:r>
        <w:separator/>
      </w:r>
    </w:p>
  </w:endnote>
  <w:endnote w:type="continuationSeparator" w:id="0">
    <w:p w14:paraId="6DC715A8" w14:textId="77777777" w:rsidR="00A65AA4" w:rsidRDefault="00A65A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CAA72" w14:textId="77777777" w:rsidR="00034518" w:rsidRDefault="0003451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441F5" w14:textId="77777777" w:rsidR="00034518" w:rsidRDefault="00034518">
    <w:pPr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A8FD" w14:textId="77777777" w:rsidR="00034518" w:rsidRDefault="0003451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DE575" w14:textId="77777777" w:rsidR="00A65AA4" w:rsidRDefault="00A65AA4">
      <w:pPr>
        <w:spacing w:after="0" w:line="240" w:lineRule="auto"/>
      </w:pPr>
      <w:r>
        <w:separator/>
      </w:r>
    </w:p>
  </w:footnote>
  <w:footnote w:type="continuationSeparator" w:id="0">
    <w:p w14:paraId="420C9521" w14:textId="77777777" w:rsidR="00A65AA4" w:rsidRDefault="00A65A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42ED2" w14:textId="77777777" w:rsidR="00034518" w:rsidRDefault="0003451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6FE6" w14:textId="77777777" w:rsidR="00C62E61" w:rsidRPr="00D219C8" w:rsidRDefault="00C62E61">
    <w:pPr>
      <w:rPr>
        <w:lang w:val="el-GR"/>
      </w:rPr>
    </w:pPr>
    <w:r>
      <w:rPr>
        <w:noProof/>
      </w:rPr>
      <w:drawing>
        <wp:inline distT="114300" distB="114300" distL="114300" distR="114300" wp14:anchorId="3A09A2F9" wp14:editId="1EBE0041">
          <wp:extent cx="2392933" cy="257594"/>
          <wp:effectExtent l="0" t="0" r="0" b="9525"/>
          <wp:docPr id="1387441968" name="GenSTEAMers logo" descr="GenSTEAMers project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7143" t="31556" r="-7143" b="32113"/>
                  <a:stretch>
                    <a:fillRect/>
                  </a:stretch>
                </pic:blipFill>
                <pic:spPr bwMode="auto">
                  <a:xfrm>
                    <a:off x="0" y="0"/>
                    <a:ext cx="2395538" cy="25787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EC552" w14:textId="77777777" w:rsidR="00034518" w:rsidRDefault="000345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9E2FC3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284D2E"/>
    <w:multiLevelType w:val="multilevel"/>
    <w:tmpl w:val="B86C88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1" w:hanging="284"/>
      </w:pPr>
      <w:rPr>
        <w:rFonts w:hint="default"/>
      </w:rPr>
    </w:lvl>
    <w:lvl w:ilvl="2">
      <w:start w:val="1"/>
      <w:numFmt w:val="decimal"/>
      <w:lvlText w:val="%1.%2.%3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2A0E0999"/>
    <w:multiLevelType w:val="hybridMultilevel"/>
    <w:tmpl w:val="BDAE30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31E3A"/>
    <w:multiLevelType w:val="multilevel"/>
    <w:tmpl w:val="A8569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2A178CD"/>
    <w:multiLevelType w:val="hybridMultilevel"/>
    <w:tmpl w:val="4CAE1218"/>
    <w:lvl w:ilvl="0" w:tplc="3BDCD6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60793"/>
    <w:multiLevelType w:val="hybridMultilevel"/>
    <w:tmpl w:val="945AE6F8"/>
    <w:lvl w:ilvl="0" w:tplc="0E761FBA">
      <w:numFmt w:val="bullet"/>
      <w:lvlText w:val="•"/>
      <w:lvlJc w:val="left"/>
      <w:pPr>
        <w:ind w:left="1080" w:hanging="720"/>
      </w:pPr>
      <w:rPr>
        <w:rFonts w:ascii="Calibri Light" w:eastAsia="IBM Plex Sans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0C4FCC"/>
    <w:multiLevelType w:val="hybridMultilevel"/>
    <w:tmpl w:val="2A7405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896341B"/>
    <w:multiLevelType w:val="hybridMultilevel"/>
    <w:tmpl w:val="69647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91593D"/>
    <w:multiLevelType w:val="hybridMultilevel"/>
    <w:tmpl w:val="6E7270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0448443">
    <w:abstractNumId w:val="1"/>
  </w:num>
  <w:num w:numId="2" w16cid:durableId="1784180706">
    <w:abstractNumId w:val="3"/>
  </w:num>
  <w:num w:numId="3" w16cid:durableId="891815224">
    <w:abstractNumId w:val="7"/>
  </w:num>
  <w:num w:numId="4" w16cid:durableId="1656837923">
    <w:abstractNumId w:val="4"/>
  </w:num>
  <w:num w:numId="5" w16cid:durableId="583608856">
    <w:abstractNumId w:val="0"/>
  </w:num>
  <w:num w:numId="6" w16cid:durableId="1016537605">
    <w:abstractNumId w:val="6"/>
  </w:num>
  <w:num w:numId="7" w16cid:durableId="416024226">
    <w:abstractNumId w:val="2"/>
  </w:num>
  <w:num w:numId="8" w16cid:durableId="375086898">
    <w:abstractNumId w:val="8"/>
  </w:num>
  <w:num w:numId="9" w16cid:durableId="20996697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E61"/>
    <w:rsid w:val="00003AE5"/>
    <w:rsid w:val="00034518"/>
    <w:rsid w:val="00042BF6"/>
    <w:rsid w:val="0006369E"/>
    <w:rsid w:val="00080445"/>
    <w:rsid w:val="000C0930"/>
    <w:rsid w:val="000D6104"/>
    <w:rsid w:val="001010F6"/>
    <w:rsid w:val="00142006"/>
    <w:rsid w:val="00147C8E"/>
    <w:rsid w:val="0015262E"/>
    <w:rsid w:val="00156017"/>
    <w:rsid w:val="001C198C"/>
    <w:rsid w:val="001C1B9D"/>
    <w:rsid w:val="0023797F"/>
    <w:rsid w:val="0026183F"/>
    <w:rsid w:val="00293AD3"/>
    <w:rsid w:val="00294110"/>
    <w:rsid w:val="002B04BC"/>
    <w:rsid w:val="00306B2D"/>
    <w:rsid w:val="00312484"/>
    <w:rsid w:val="003530D1"/>
    <w:rsid w:val="003D1774"/>
    <w:rsid w:val="00401453"/>
    <w:rsid w:val="00436A48"/>
    <w:rsid w:val="004632F8"/>
    <w:rsid w:val="00484D54"/>
    <w:rsid w:val="004B1726"/>
    <w:rsid w:val="004D1C73"/>
    <w:rsid w:val="004E1BDF"/>
    <w:rsid w:val="0053239B"/>
    <w:rsid w:val="0058130C"/>
    <w:rsid w:val="005A5552"/>
    <w:rsid w:val="005C5985"/>
    <w:rsid w:val="00602AF4"/>
    <w:rsid w:val="00687333"/>
    <w:rsid w:val="006B218C"/>
    <w:rsid w:val="0070094B"/>
    <w:rsid w:val="00723E8C"/>
    <w:rsid w:val="00731F66"/>
    <w:rsid w:val="007A6029"/>
    <w:rsid w:val="007B05FB"/>
    <w:rsid w:val="007B40B3"/>
    <w:rsid w:val="007D48C9"/>
    <w:rsid w:val="00805C72"/>
    <w:rsid w:val="00813AE7"/>
    <w:rsid w:val="008308D3"/>
    <w:rsid w:val="008437BB"/>
    <w:rsid w:val="00850C7D"/>
    <w:rsid w:val="0089707E"/>
    <w:rsid w:val="008B1252"/>
    <w:rsid w:val="0090045B"/>
    <w:rsid w:val="009305E7"/>
    <w:rsid w:val="00950EEE"/>
    <w:rsid w:val="0095459E"/>
    <w:rsid w:val="00963131"/>
    <w:rsid w:val="00975919"/>
    <w:rsid w:val="00993143"/>
    <w:rsid w:val="009A7D53"/>
    <w:rsid w:val="009B66BB"/>
    <w:rsid w:val="009C3063"/>
    <w:rsid w:val="009D548E"/>
    <w:rsid w:val="009F0961"/>
    <w:rsid w:val="00A17707"/>
    <w:rsid w:val="00A27A36"/>
    <w:rsid w:val="00A520EC"/>
    <w:rsid w:val="00A65AA4"/>
    <w:rsid w:val="00A66F5D"/>
    <w:rsid w:val="00A755CE"/>
    <w:rsid w:val="00A82E2B"/>
    <w:rsid w:val="00A8519E"/>
    <w:rsid w:val="00AD49B3"/>
    <w:rsid w:val="00B07520"/>
    <w:rsid w:val="00B3310F"/>
    <w:rsid w:val="00B63CAF"/>
    <w:rsid w:val="00BA14AC"/>
    <w:rsid w:val="00BC2B68"/>
    <w:rsid w:val="00BF0952"/>
    <w:rsid w:val="00BF1286"/>
    <w:rsid w:val="00BF31C7"/>
    <w:rsid w:val="00C05DF0"/>
    <w:rsid w:val="00C62E61"/>
    <w:rsid w:val="00CA71DB"/>
    <w:rsid w:val="00CA7F9D"/>
    <w:rsid w:val="00CD4957"/>
    <w:rsid w:val="00CF2938"/>
    <w:rsid w:val="00CF374A"/>
    <w:rsid w:val="00D47BF7"/>
    <w:rsid w:val="00DA3D1A"/>
    <w:rsid w:val="00DB4D3B"/>
    <w:rsid w:val="00DC5B12"/>
    <w:rsid w:val="00E05567"/>
    <w:rsid w:val="00E1268D"/>
    <w:rsid w:val="00E26BD6"/>
    <w:rsid w:val="00E3131E"/>
    <w:rsid w:val="00E72FC7"/>
    <w:rsid w:val="00EE12F8"/>
    <w:rsid w:val="00EE61BA"/>
    <w:rsid w:val="00F02533"/>
    <w:rsid w:val="00F37CBA"/>
    <w:rsid w:val="00FC7EAC"/>
    <w:rsid w:val="00FD673B"/>
    <w:rsid w:val="00FE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EB3D3"/>
  <w15:chartTrackingRefBased/>
  <w15:docId w15:val="{7B084C8D-0E8F-4C6F-B543-8DE51A275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62E61"/>
    <w:pPr>
      <w:spacing w:after="120" w:line="276" w:lineRule="auto"/>
    </w:pPr>
    <w:rPr>
      <w:rFonts w:ascii="Arial" w:eastAsia="Arial" w:hAnsi="Arial" w:cs="Arial"/>
      <w:kern w:val="0"/>
      <w:sz w:val="20"/>
      <w:lang w:val="en"/>
      <w14:ligatures w14:val="none"/>
    </w:rPr>
  </w:style>
  <w:style w:type="paragraph" w:styleId="1">
    <w:name w:val="heading 1"/>
    <w:basedOn w:val="a0"/>
    <w:next w:val="a0"/>
    <w:link w:val="1Char"/>
    <w:uiPriority w:val="9"/>
    <w:qFormat/>
    <w:rsid w:val="00C62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C62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Char"/>
    <w:uiPriority w:val="9"/>
    <w:unhideWhenUsed/>
    <w:qFormat/>
    <w:rsid w:val="00436A48"/>
    <w:pPr>
      <w:keepNext/>
      <w:keepLines/>
      <w:numPr>
        <w:ilvl w:val="1"/>
        <w:numId w:val="2"/>
      </w:numPr>
      <w:shd w:val="pct10" w:color="auto" w:fill="auto"/>
      <w:spacing w:before="160" w:after="80" w:line="240" w:lineRule="auto"/>
      <w:jc w:val="both"/>
      <w:outlineLvl w:val="2"/>
    </w:pPr>
    <w:rPr>
      <w:rFonts w:ascii="Calibri" w:eastAsiaTheme="majorEastAsia" w:hAnsi="Calibri" w:cstheme="majorBidi"/>
      <w:smallCaps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Char"/>
    <w:uiPriority w:val="9"/>
    <w:unhideWhenUsed/>
    <w:qFormat/>
    <w:rsid w:val="00C62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Char"/>
    <w:uiPriority w:val="9"/>
    <w:unhideWhenUsed/>
    <w:qFormat/>
    <w:rsid w:val="00C62E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C62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C62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C62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C62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Char">
    <w:name w:val="Επικεφαλίδα 3 Char"/>
    <w:basedOn w:val="a1"/>
    <w:link w:val="3"/>
    <w:uiPriority w:val="9"/>
    <w:rsid w:val="00436A48"/>
    <w:rPr>
      <w:rFonts w:ascii="Calibri" w:eastAsiaTheme="majorEastAsia" w:hAnsi="Calibri" w:cstheme="majorBidi"/>
      <w:smallCaps/>
      <w:color w:val="0F4761" w:themeColor="accent1" w:themeShade="BF"/>
      <w:kern w:val="0"/>
      <w:sz w:val="28"/>
      <w:szCs w:val="28"/>
      <w:shd w:val="pct10" w:color="auto" w:fill="auto"/>
      <w14:ligatures w14:val="none"/>
    </w:rPr>
  </w:style>
  <w:style w:type="character" w:customStyle="1" w:styleId="1Char">
    <w:name w:val="Επικεφαλίδα 1 Char"/>
    <w:basedOn w:val="a1"/>
    <w:link w:val="1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1"/>
    <w:link w:val="2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Επικεφαλίδα 4 Char"/>
    <w:basedOn w:val="a1"/>
    <w:link w:val="4"/>
    <w:uiPriority w:val="9"/>
    <w:rsid w:val="00C62E61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1"/>
    <w:link w:val="5"/>
    <w:uiPriority w:val="9"/>
    <w:rsid w:val="00C62E61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1"/>
    <w:link w:val="6"/>
    <w:uiPriority w:val="9"/>
    <w:semiHidden/>
    <w:rsid w:val="00C62E61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1"/>
    <w:link w:val="7"/>
    <w:uiPriority w:val="9"/>
    <w:semiHidden/>
    <w:rsid w:val="00C62E61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1"/>
    <w:link w:val="8"/>
    <w:uiPriority w:val="9"/>
    <w:semiHidden/>
    <w:rsid w:val="00C62E61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1"/>
    <w:link w:val="9"/>
    <w:uiPriority w:val="9"/>
    <w:semiHidden/>
    <w:rsid w:val="00C62E6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Char"/>
    <w:uiPriority w:val="10"/>
    <w:qFormat/>
    <w:rsid w:val="00C62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1"/>
    <w:link w:val="a4"/>
    <w:uiPriority w:val="10"/>
    <w:rsid w:val="00C62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C62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1"/>
    <w:link w:val="a5"/>
    <w:uiPriority w:val="11"/>
    <w:rsid w:val="00C62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C62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1"/>
    <w:link w:val="a6"/>
    <w:uiPriority w:val="29"/>
    <w:rsid w:val="00C62E61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C62E61"/>
    <w:pPr>
      <w:ind w:left="720"/>
      <w:contextualSpacing/>
    </w:pPr>
    <w:rPr>
      <w:rFonts w:ascii="Arial" w:hAnsi="Arial" w:eastAsia="Arial"/>
      <w:sz w:val="20"/>
    </w:rPr>
  </w:style>
  <w:style w:type="character" w:styleId="a8">
    <w:name w:val="Intense Emphasis"/>
    <w:basedOn w:val="a1"/>
    <w:uiPriority w:val="21"/>
    <w:qFormat/>
    <w:rsid w:val="00C62E61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C62E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1"/>
    <w:link w:val="a9"/>
    <w:uiPriority w:val="30"/>
    <w:rsid w:val="00C62E61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C62E61"/>
    <w:rPr>
      <w:b/>
      <w:bCs/>
      <w:smallCaps/>
      <w:color w:val="0F4761" w:themeColor="accent1" w:themeShade="BF"/>
      <w:spacing w:val="5"/>
    </w:rPr>
  </w:style>
  <w:style w:type="table" w:customStyle="1" w:styleId="36">
    <w:name w:val="36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35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34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32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">
    <w:name w:val="List Bullet"/>
    <w:basedOn w:val="a0"/>
    <w:uiPriority w:val="99"/>
    <w:unhideWhenUsed/>
    <w:rsid w:val="00C62E61"/>
    <w:pPr>
      <w:numPr>
        <w:numId w:val="5"/>
      </w:numPr>
      <w:tabs>
        <w:tab w:val="clear" w:pos="360"/>
      </w:tabs>
      <w:spacing w:after="200"/>
      <w:ind w:left="0" w:firstLine="0"/>
      <w:contextualSpacing/>
    </w:pPr>
    <w:rPr>
      <w:rFonts w:ascii="Aptos" w:eastAsiaTheme="minorEastAsia" w:hAnsi="Aptos" w:cstheme="minorBidi"/>
      <w:sz w:val="21"/>
      <w:lang w:val="en-US"/>
    </w:rPr>
  </w:style>
  <w:style w:type="table" w:styleId="ab">
    <w:name w:val="Table Grid"/>
    <w:basedOn w:val="a2"/>
    <w:uiPriority w:val="59"/>
    <w:rsid w:val="00C62E61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13</Pages>
  <Words>2268</Words>
  <Characters>12930</Characters>
  <Application>Microsoft Office Word</Application>
  <DocSecurity>0</DocSecurity>
  <Lines>107</Lines>
  <Paragraphs>30</Paragraphs>
  <ScaleCrop>false</ScaleCrop>
  <Company/>
  <LinksUpToDate>false</LinksUpToDate>
  <CharactersWithSpaces>15168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Option A — Scratch Implementation Guide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78</cp:revision>
  <dcterms:created xsi:type="dcterms:W3CDTF">2026-06-13T12:51:00Z</dcterms:created>
  <dcterms:modified xsi:type="dcterms:W3CDTF">2026-07-22T18:23:02Z</dcterms:modified>
  <cp:category>GenSTEAMers educational material</cp:category>
</cp:coreProperties>
</file>