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p>
      <w:pPr>
        <w:pStyle w:val="3"/>
      </w:pPr>
      <w:r>
        <w:t>Overview</w:t>
      </w:r>
    </w:p>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Route equivalence means the same evidence-to-action reasoning, the same reserved-input verification and the same Creator Statement fields, not an identical technical experience.</w:t>
      </w:r>
    </w:p>
    <w:p>
      <w:pPr>
        <w:pStyle w:val="3"/>
      </w:pPr>
      <w:r>
        <w:t>Expected Student Output</w:t>
      </w:r>
    </w:p>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student test and review record are present and that the record is READY FOR PART 5;</w:t>
      </w:r>
    </w:p>
    <w:p>
      <w:pPr>
        <w:pStyle w:val="a7"/>
        <w:spacing w:after="30"/>
        <w:ind w:left="259" w:hanging="202"/>
      </w:pPr>
      <w:r>
        <w:t>2. one evidence-to-action confirmation that cites a Part 4 test ID,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p>
      <w:pPr>
        <w:pStyle w:val="3"/>
      </w:pPr>
      <w:r>
        <w:t>Key Teaching Moves / Implementation steps</w:t>
      </w:r>
    </w:p>
    <w:p>
      <w:pPr>
        <w:pStyle w:val="4"/>
        <w:keepNext/>
        <w:spacing w:after="60"/>
      </w:pPr>
      <w:r>
        <w:t>Implementation notes</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ID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ID, exact input and observed behaviour. Decide what the evidence supports. Change no more than one feature. Re-run the reserved input and record what actually happened.</w:t>
            </w:r>
          </w:p>
        </w:tc>
      </w:tr>
    </w:tbl>
    <w:p>
      <w:pPr>
        <w:pStyle w:val="4"/>
      </w:pPr>
      <w:r>
        <w:t>Before the lesson</w:t>
      </w:r>
    </w:p>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student refinement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pPr>
      <w:r>
        <w:t>Implementation flow</w:t>
      </w:r>
    </w:p>
    <w:p>
      <w:pPr>
        <w:pStyle w:val="5"/>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5"/>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5"/>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5"/>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5"/>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5"/>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5"/>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p>
      <w:pPr>
        <w:pStyle w:val="4"/>
      </w:pPr>
      <w:r>
        <w:t>Optional GenAI Support</w:t>
      </w:r>
    </w:p>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5"/>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5"/>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ID,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p>
      <w:pPr>
        <w:pStyle w:val="4"/>
      </w:pPr>
      <w:r>
        <w:t>Final communication and Full Pathway completion</w:t>
      </w:r>
    </w:p>
    <w:p>
      <w:pPr>
        <w:keepNext w:val="0"/>
        <w:spacing w:after="60"/>
      </w:pPr>
      <w:r>
        <w:t>The required communication output is the bounded Creator Statement embedded in student refinement and completion record. A slide deck, poster or public showcase is not required. A teacher may invite a brief oral share-out only after the written evidence record is complete and only if time remains.</w:t>
      </w:r>
    </w:p>
    <w:p>
      <w:pPr>
        <w:pStyle w:val="5"/>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ID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5"/>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T1-T4 evidence,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p>
      <w:pPr>
        <w:pStyle w:val="4"/>
      </w:pPr>
      <w:r>
        <w:t>Critical Thinking Opportunities</w:t>
      </w:r>
    </w:p>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p>
      <w:pPr>
        <w:pStyle w:val="3"/>
      </w:pPr>
      <w:r>
        <w:t>Preparing the data set (if applicable)</w:t>
      </w:r>
    </w:p>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p>
      <w:pPr>
        <w:pStyle w:val="3"/>
      </w:pPr>
      <w:r>
        <w:t>Teacher Notes</w:t>
      </w:r>
    </w:p>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route refinement/save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student refinement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