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Option C Student Build Card</w:t>
      </w:r>
    </w:p>
    <w:p>
      <w:pPr>
        <w:jc w:val="center"/>
      </w:pPr>
      <w:r>
        <w:rPr>
          <w:i/>
          <w:color w:val="5A5A5A"/>
          <w:sz w:val="20"/>
        </w:rPr>
        <w:t>Paper-based chatbot logic prototype</w:t>
      </w:r>
    </w:p>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0512"/>
      </w:tblGrid>
      <w:tr>
        <w:trPr>
          <w:cantSplit/>
        </w:trPr>
        <w:tc>
          <w:tcPr>
            <w:tcW w:type="dxa" w:w="10512"/>
            <w:shd w:fill="EEF5FB"/>
          </w:tcPr>
          <w:p>
            <w:pPr>
              <w:spacing w:after="40"/>
            </w:pPr>
            <w:r>
              <w:rPr>
                <w:b/>
                <w:color w:val="1F4E79"/>
                <w:sz w:val="20"/>
              </w:rPr>
              <w:t>Build mission</w:t>
            </w:r>
          </w:p>
          <w:p>
            <w:pPr>
              <w:spacing w:after="0"/>
            </w:pPr>
            <w:r>
              <w:rPr>
                <w:sz w:val="18"/>
              </w:rPr>
              <w:t>This preliminary card shows the intended logic for an equal-learning-value paper-based option. Use cards or a flowchart to represent the chatbot behaviour. The final printable pack and facilitation guidance will follow.</w:t>
            </w:r>
          </w:p>
        </w:tc>
      </w:tr>
    </w:tbl>
    <w:tbl>
      <w:tblPr>
        <w:tblStyle w:val="TableGrid"/>
        <w:tblW w:type="auto" w:w="0"/>
        <w:jc w:val="center"/>
        <w:tblLook w:firstColumn="1" w:firstRow="1" w:lastColumn="0" w:lastRow="0" w:noHBand="0" w:noVBand="1" w:val="04A0"/>
      </w:tblPr>
      <w:tblGrid>
        <w:gridCol w:w="10512"/>
      </w:tblGrid>
      <w:tr>
        <w:trPr>
          <w:cantSplit/>
        </w:trPr>
        <w:tc>
          <w:tcPr>
            <w:tcW w:type="dxa" w:w="10512"/>
            <w:vAlign w:val="center"/>
            <w:shd w:fill="FFF2CC"/>
          </w:tcPr>
          <w:p>
            <w:r>
              <w:t>PRELIMINARY MATERIAL — FULL IMPLEMENTATION PACK WORK IN PROGRESS</w:t>
            </w:r>
            <w:r/>
          </w:p>
        </w:tc>
      </w:tr>
    </w:tbl>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256"/>
        <w:gridCol w:w="5256"/>
      </w:tblGrid>
      <w:tr>
        <w:trPr>
          <w:cantSplit/>
        </w:trPr>
        <w:tc>
          <w:tcPr>
            <w:tcW w:type="dxa" w:w="2880"/>
            <w:shd w:fill="D9EAF7"/>
          </w:tcPr>
          <w:p>
            <w:pPr>
              <w:spacing w:after="0"/>
            </w:pPr>
            <w:r/>
            <w:r>
              <w:rPr>
                <w:b/>
                <w:sz w:val="17"/>
              </w:rPr>
              <w:t>Card / element</w:t>
            </w:r>
          </w:p>
        </w:tc>
        <w:tc>
          <w:tcPr>
            <w:tcW w:type="dxa" w:w="6768"/>
            <w:shd w:fill="D9EAF7"/>
          </w:tcPr>
          <w:p>
            <w:pPr>
              <w:spacing w:after="0"/>
            </w:pPr>
            <w:r/>
            <w:r>
              <w:rPr>
                <w:b/>
                <w:sz w:val="17"/>
              </w:rPr>
              <w:t>What to create</w:t>
            </w:r>
          </w:p>
        </w:tc>
      </w:tr>
      <w:tr>
        <w:trPr>
          <w:cantSplit/>
        </w:trPr>
        <w:tc>
          <w:tcPr>
            <w:tcW w:type="dxa" w:w="2880"/>
          </w:tcPr>
          <w:p>
            <w:pPr>
              <w:spacing w:after="0"/>
            </w:pPr>
            <w:r>
              <w:t>Start card</w:t>
            </w:r>
            <w:r>
              <w:rPr>
                <w:b w:val="0"/>
                <w:sz w:val="17"/>
              </w:rPr>
            </w:r>
          </w:p>
        </w:tc>
        <w:tc>
          <w:tcPr>
            <w:tcW w:type="dxa" w:w="6768"/>
          </w:tcPr>
          <w:p>
            <w:pPr>
              <w:spacing w:after="0"/>
            </w:pPr>
            <w:r>
              <w:t>Chatbot name, target user, purpose, and the three things it can help with.</w:t>
            </w:r>
            <w:r>
              <w:rPr>
                <w:b w:val="0"/>
                <w:sz w:val="17"/>
              </w:rPr>
            </w:r>
          </w:p>
        </w:tc>
      </w:tr>
      <w:tr>
        <w:trPr>
          <w:cantSplit/>
        </w:trPr>
        <w:tc>
          <w:tcPr>
            <w:tcW w:type="dxa" w:w="2880"/>
          </w:tcPr>
          <w:p>
            <w:pPr>
              <w:spacing w:after="0"/>
            </w:pPr>
            <w:r>
              <w:t>Supported input cards</w:t>
            </w:r>
            <w:r>
              <w:rPr>
                <w:b w:val="0"/>
                <w:sz w:val="17"/>
              </w:rPr>
            </w:r>
          </w:p>
        </w:tc>
        <w:tc>
          <w:tcPr>
            <w:tcW w:type="dxa" w:w="6768"/>
          </w:tcPr>
          <w:p>
            <w:pPr>
              <w:spacing w:after="0"/>
            </w:pPr>
            <w:r>
              <w:t>Four likely user inputs or questions. Mark which category each belongs to.</w:t>
            </w:r>
            <w:r>
              <w:rPr>
                <w:b w:val="0"/>
                <w:sz w:val="17"/>
              </w:rPr>
            </w:r>
          </w:p>
        </w:tc>
      </w:tr>
      <w:tr>
        <w:trPr>
          <w:cantSplit/>
        </w:trPr>
        <w:tc>
          <w:tcPr>
            <w:tcW w:type="dxa" w:w="2880"/>
          </w:tcPr>
          <w:p>
            <w:pPr>
              <w:spacing w:after="0"/>
            </w:pPr>
            <w:r>
              <w:t>Category + response cards</w:t>
            </w:r>
            <w:r>
              <w:rPr>
                <w:b w:val="0"/>
                <w:sz w:val="17"/>
              </w:rPr>
            </w:r>
          </w:p>
        </w:tc>
        <w:tc>
          <w:tcPr>
            <w:tcW w:type="dxa" w:w="6768"/>
          </w:tcPr>
          <w:p>
            <w:pPr>
              <w:spacing w:after="0"/>
            </w:pPr>
            <w:r>
              <w:t>Three category cards and one approved response for each category.</w:t>
            </w:r>
            <w:r>
              <w:rPr>
                <w:b w:val="0"/>
                <w:sz w:val="17"/>
              </w:rPr>
            </w:r>
          </w:p>
        </w:tc>
      </w:tr>
      <w:tr>
        <w:trPr>
          <w:cantSplit/>
        </w:trPr>
        <w:tc>
          <w:tcPr>
            <w:tcW w:type="dxa" w:w="2880"/>
          </w:tcPr>
          <w:p>
            <w:pPr>
              <w:spacing w:after="0"/>
            </w:pPr>
            <w:r>
              <w:t>Fallback card</w:t>
            </w:r>
            <w:r>
              <w:rPr>
                <w:b w:val="0"/>
                <w:sz w:val="17"/>
              </w:rPr>
            </w:r>
          </w:p>
        </w:tc>
        <w:tc>
          <w:tcPr>
            <w:tcW w:type="dxa" w:w="6768"/>
          </w:tcPr>
          <w:p>
            <w:pPr>
              <w:spacing w:after="0"/>
            </w:pPr>
            <w:r>
              <w:t>What the bot says when the input is unclear, and how the user can try again.</w:t>
            </w:r>
            <w:r>
              <w:rPr>
                <w:b w:val="0"/>
                <w:sz w:val="17"/>
              </w:rPr>
            </w:r>
          </w:p>
        </w:tc>
      </w:tr>
      <w:tr>
        <w:trPr>
          <w:cantSplit/>
        </w:trPr>
        <w:tc>
          <w:tcPr>
            <w:tcW w:type="dxa" w:w="2880"/>
          </w:tcPr>
          <w:p>
            <w:pPr>
              <w:spacing w:after="0"/>
            </w:pPr>
            <w:r>
              <w:t>Limitation/safety card</w:t>
            </w:r>
            <w:r>
              <w:rPr>
                <w:b w:val="0"/>
                <w:sz w:val="17"/>
              </w:rPr>
            </w:r>
          </w:p>
        </w:tc>
        <w:tc>
          <w:tcPr>
            <w:tcW w:type="dxa" w:w="6768"/>
          </w:tcPr>
          <w:p>
            <w:pPr>
              <w:spacing w:after="0"/>
            </w:pPr>
            <w:r>
              <w:t>What the bot says outside scope or for sensitive questions, including safe redirection.</w:t>
            </w:r>
            <w:r>
              <w:rPr>
                <w:b w:val="0"/>
                <w:sz w:val="17"/>
              </w:rPr>
            </w:r>
          </w:p>
        </w:tc>
      </w:tr>
      <w:tr>
        <w:trPr>
          <w:cantSplit/>
        </w:trPr>
        <w:tc>
          <w:tcPr>
            <w:tcW w:type="dxa" w:w="2880"/>
          </w:tcPr>
          <w:p>
            <w:pPr>
              <w:spacing w:after="0"/>
            </w:pPr>
            <w:r>
              <w:t>Route map / flowchart</w:t>
            </w:r>
            <w:r>
              <w:rPr>
                <w:b w:val="0"/>
                <w:sz w:val="17"/>
              </w:rPr>
            </w:r>
          </w:p>
        </w:tc>
        <w:tc>
          <w:tcPr>
            <w:tcW w:type="dxa" w:w="6768"/>
          </w:tcPr>
          <w:p>
            <w:pPr>
              <w:spacing w:after="0"/>
            </w:pPr>
            <w:r>
              <w:t>Show: start -&gt; supported category response OR fallback OR limitation.</w:t>
            </w:r>
            <w:r>
              <w:rPr>
                <w:b w:val="0"/>
                <w:sz w:val="17"/>
              </w:rPr>
            </w:r>
          </w:p>
        </w:tc>
      </w:tr>
    </w:tbl>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0512"/>
      </w:tblGrid>
      <w:tr>
        <w:trPr>
          <w:cantSplit/>
        </w:trPr>
        <w:tc>
          <w:tcPr>
            <w:tcW w:type="dxa" w:w="10512"/>
            <w:shd w:fill="FFF2CC"/>
          </w:tcPr>
          <w:p>
            <w:pPr>
              <w:spacing w:after="40"/>
            </w:pPr>
            <w:r>
              <w:rPr>
                <w:b/>
                <w:color w:val="1F4E79"/>
                <w:sz w:val="20"/>
              </w:rPr>
              <w:t>Testing roles and sequence</w:t>
            </w:r>
          </w:p>
          <w:p>
            <w:r>
              <w:t>Student A = user. Student B = bot and may answer only from the approved cards. Student C = tester/evidence recorder. Run four tests: two supported inputs, one unclear input, and one outside-topic or sensitive input. Mark one ★ as the CORE 1 principle test. Then improve one card or keep it as designed and justify the decision.</w:t>
            </w:r>
          </w:p>
        </w:tc>
      </w:tr>
    </w:tbl>
    <w:p/>
    <w:p>
      <w:pPr>
        <w:pStyle w:val="Heading2"/>
      </w:pPr>
      <w:r>
        <w:rPr>
          <w:b/>
        </w:rPr>
        <w:t>Required before you finish: CORE 1 Principle Trace</w:t>
      </w:r>
    </w:p>
    <w:p>
      <w:r>
        <w:t>The full Principle Trace is recorded in the Student Design Worksheet (S1). Before finishing, check that the planned feature is implemented and one of the four tests is labelled as the CORE 1 principle test.</w:t>
      </w:r>
    </w:p>
    <w:tbl>
      <w:tblPr>
        <w:tblStyle w:val="TableGrid"/>
        <w:tblW w:type="auto" w:w="0"/>
        <w:jc w:val="center"/>
        <w:tblLook w:firstColumn="1" w:firstRow="1" w:lastColumn="0" w:lastRow="0" w:noHBand="0" w:noVBand="1" w:val="04A0"/>
      </w:tblPr>
      <w:tblGrid>
        <w:gridCol w:w="5256"/>
        <w:gridCol w:w="5256"/>
      </w:tblGrid>
      <w:tr>
        <w:trPr>
          <w:cantSplit/>
        </w:trPr>
        <w:tc>
          <w:tcPr>
            <w:tcW w:type="dxa" w:w="5256"/>
            <w:shd w:fill="2F75B5"/>
            <w:vAlign w:val="center"/>
          </w:tcPr>
          <w:p>
            <w:r/>
            <w:r>
              <w:t>Final checkpoint</w:t>
            </w:r>
          </w:p>
        </w:tc>
        <w:tc>
          <w:tcPr>
            <w:tcW w:type="dxa" w:w="5256"/>
            <w:shd w:fill="2F75B5"/>
            <w:vAlign w:val="center"/>
          </w:tcPr>
          <w:p>
            <w:r/>
            <w:r>
              <w:t>Where to record it</w:t>
            </w:r>
          </w:p>
        </w:tc>
      </w:tr>
      <w:tr>
        <w:trPr>
          <w:cantSplit/>
        </w:trPr>
        <w:tc>
          <w:tcPr>
            <w:tcW w:type="dxa" w:w="5256"/>
            <w:vAlign w:val="center"/>
            <w:shd w:fill="D9EAF7"/>
          </w:tcPr>
          <w:p>
            <w:r/>
            <w:r>
              <w:t>CORE 1 principle + design requirement</w:t>
            </w:r>
          </w:p>
        </w:tc>
        <w:tc>
          <w:tcPr>
            <w:tcW w:type="dxa" w:w="5256"/>
            <w:vAlign w:val="center"/>
          </w:tcPr>
          <w:p>
            <w:r/>
            <w:r>
              <w:t>Student Design Worksheet (S1) — Principle Trace</w:t>
            </w:r>
          </w:p>
        </w:tc>
      </w:tr>
      <w:tr>
        <w:trPr>
          <w:cantSplit/>
        </w:trPr>
        <w:tc>
          <w:tcPr>
            <w:tcW w:type="dxa" w:w="5256"/>
            <w:vAlign w:val="center"/>
            <w:shd w:fill="D9EAF7"/>
          </w:tcPr>
          <w:p>
            <w:r/>
            <w:r>
              <w:t>Implemented feature</w:t>
            </w:r>
          </w:p>
        </w:tc>
        <w:tc>
          <w:tcPr>
            <w:tcW w:type="dxa" w:w="5256"/>
            <w:vAlign w:val="center"/>
          </w:tcPr>
          <w:p>
            <w:r/>
            <w:r>
              <w:t>Student Design Worksheet (S1) — Principle Trace / build notes</w:t>
            </w:r>
          </w:p>
        </w:tc>
      </w:tr>
      <w:tr>
        <w:trPr>
          <w:cantSplit/>
        </w:trPr>
        <w:tc>
          <w:tcPr>
            <w:tcW w:type="dxa" w:w="5256"/>
            <w:vAlign w:val="center"/>
            <w:shd w:fill="D9EAF7"/>
          </w:tcPr>
          <w:p>
            <w:r/>
            <w:r>
              <w:t>★ Test + evidence</w:t>
            </w:r>
          </w:p>
        </w:tc>
        <w:tc>
          <w:tcPr>
            <w:tcW w:type="dxa" w:w="5256"/>
            <w:vAlign w:val="center"/>
          </w:tcPr>
          <w:p>
            <w:r/>
            <w:r>
              <w:t>S1 mini-test, or optional S3 if used</w:t>
            </w:r>
          </w:p>
        </w:tc>
      </w:tr>
    </w:tbl>
    <w:p>
      <w:r>
        <w:t>Teacher checkpoint: do not move to CORE 3 unless the implemented feature, labelled test, and evidence are visible in the Student Design Worksheet (S1), or in the optional Mini-Test Record (S3) if used.</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 C Student Build Card</dc:title>
  <dc:subject>GenSTEAMers Chatting with AI modular pathway — CORE 2</dc:subject>
  <dc:creator>GenSTEAMers / EDUMOTIVA</dc:creator>
  <cp:keywords>GenSTEAMers, Chatting with AI, CORE 2, chatbot design, GenAI literacy</cp:keywords>
  <dc:description/>
  <cp:lastModifiedBy>GenSTEAMers / EDUMOTIVA</cp:lastModifiedBy>
  <cp:revision>1</cp:revision>
  <dcterms:created xsi:type="dcterms:W3CDTF">2013-12-23T23:15:00Z</dcterms:created>
  <dcterms:modified xsi:type="dcterms:W3CDTF">2013-12-23T23:15:00Z</dcterms:modified>
  <cp:category/>
</cp:coreProperties>
</file>