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Route C Human-Bot Role Cards</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Human-Bot Role-Play Route | Systematic challenge version</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How to use this route</w:t>
            </w:r>
          </w:p>
          <w:p>
            <w:pPr>
              <w:spacing w:after="0"/>
            </w:pPr>
            <w:r>
              <w:t>Use this route when students cannot use a live chatbot, or when you want them to understand simple rule-based chatbot behaviour before using digital tools. Each group works with ONE bot card.</w:t>
            </w:r>
          </w:p>
        </w:tc>
      </w:tr>
    </w:tbl>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Important classroom rule</w:t>
            </w:r>
          </w:p>
          <w:p>
            <w:pPr>
              <w:spacing w:after="0"/>
            </w:pPr>
            <w:r>
              <w:t>Some bot rules are intentionally incomplete, inaccurate, biased, or unsafe. Students follow the rules for the simulation, but they do not need to agree with them or follow the advice in real life. The class evaluates the bot rules and response pattern, not the student who plays the bot.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Group size and roles</w:t>
            </w:r>
          </w:p>
          <w:p>
            <w:pPr>
              <w:spacing w:after="0"/>
            </w:pPr>
            <w:r>
              <w:t>Use at least three students per group. In a group of three: Bot; User/Recorder; Evidence Finder. In a group of four: Bot; User; Recorder; Evidence Finder. Ask Q1 and Q2. Use Q3 only if time allows.</w:t>
            </w:r>
          </w:p>
        </w:tc>
      </w:tr>
    </w:tbl>
    <w:p>
      <w:pPr>
        <w:pStyle w:val="Heading2"/>
      </w:pPr>
      <w:r>
        <w:t>Quick use steps</w:t>
      </w:r>
    </w:p>
    <w:p>
      <w:pPr>
        <w:pStyle w:val="ListNumber"/>
        <w:spacing w:after="40"/>
        <w:ind w:left="432" w:hanging="216"/>
      </w:pPr>
      <w:r>
        <w:t>Give each group one bot card.</w:t>
      </w:r>
    </w:p>
    <w:p>
      <w:pPr>
        <w:pStyle w:val="ListNumber"/>
        <w:spacing w:after="40"/>
        <w:ind w:left="432" w:hanging="216"/>
      </w:pPr>
      <w:r>
        <w:t>The student-bot reads the rules and follows them exactly.</w:t>
      </w:r>
    </w:p>
    <w:p>
      <w:pPr>
        <w:pStyle w:val="ListNumber"/>
        <w:spacing w:after="40"/>
        <w:ind w:left="432" w:hanging="216"/>
      </w:pPr>
      <w:r>
        <w:t>The user asks Q1 and Q2; Q3 is only if time allows.</w:t>
      </w:r>
    </w:p>
    <w:p>
      <w:pPr>
        <w:pStyle w:val="ListNumber"/>
        <w:spacing w:after="40"/>
        <w:ind w:left="432" w:hanging="216"/>
      </w:pPr>
      <w:r>
        <w:t>The recorder writes the user question and bot response in Section 2 of S1.</w:t>
      </w:r>
    </w:p>
    <w:p>
      <w:pPr>
        <w:pStyle w:val="ListNumber"/>
        <w:spacing w:after="40"/>
        <w:ind w:left="432" w:hanging="216"/>
      </w:pPr>
      <w:r>
        <w:t>The evidence finder listens for unclear wording, missing information, assumptions, unsafe advice, or claims that need checking.</w:t>
      </w:r>
    </w:p>
    <w:p>
      <w:r>
        <w:br w:type="page"/>
      </w:r>
    </w:p>
    <w:p>
      <w:pPr>
        <w:pStyle w:val="Heading1"/>
      </w:pPr>
      <w:r>
        <w:t>1. School Helpdesk Bot</w:t>
      </w:r>
    </w:p>
    <w:p>
      <w:r>
        <w:rPr>
          <w:b/>
        </w:rPr>
        <w:t xml:space="preserve">Chatbot purpose: </w:t>
      </w:r>
      <w:r>
        <w:t>Helps students with basic school information.</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 room or location</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science lab is probably near the other classrooms. Just ask someone when you get there.</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forgotten homework</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 should always be responsible and never forget homework. Good students come prepared.</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library</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library may be open, but you should check the timetable or ask a teacher.</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being new, worried, or lost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a teacher.</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I use the library during lunch break?</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forgot my homework. What should I do now?</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new at this school and feel lost. What should I do first?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2. Recycling Advice Bot</w:t>
      </w:r>
    </w:p>
    <w:p>
      <w:r>
        <w:rPr>
          <w:b/>
        </w:rPr>
        <w:t xml:space="preserve">Chatbot purpose: </w:t>
      </w:r>
      <w:r>
        <w:t>Helps users decide how to recycle common items.</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plastic bottles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Empty plastic bottles usually go in the plastic recycling bin. Check your local rules.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cardboard</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all cardboard can go into recycling.</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batteries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Throw them in the normal rubbish bin because they are small.</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something the bot does not know</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check your local recycling rules.</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Where should I put an empty plastic water bottle?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I recycle a pizza box with some grease on it?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What should I do with old batteries?</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3. Museum Guide Bot</w:t>
      </w:r>
    </w:p>
    <w:p>
      <w:r>
        <w:rPr>
          <w:b/>
        </w:rPr>
        <w:t xml:space="preserve">Chatbot purpose: </w:t>
      </w:r>
      <w:r>
        <w:t>Helps visitors learn about a science museum.</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robotics exhibition</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 can see robots, machines, and probably some cool technology things.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younger students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younger students usually like colourful things and simple activities.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time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Most visitors spend one to two hours, but it depends on your interests and activities.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accessibility or special needs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museum staff.</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How long should we spend in the museum?</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Is the museum interesting for younger students who do not like science?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What can I see in the robotics exhibition?</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4. STEM Facts Bot</w:t>
      </w:r>
    </w:p>
    <w:p>
      <w:r>
        <w:rPr>
          <w:b/>
        </w:rPr>
        <w:t xml:space="preserve">Chatbot purpose: </w:t>
      </w:r>
      <w:r>
        <w:t>Answers simple STEM and AI-related questions.</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lightning and thunder</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Because light travels faster than sound, so we see the flash before the sound reaches us.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plants and light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Plants always need direct sunlight to grow. Artificial light cannot help them grow.</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AI being correct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AI systems are trained on lots of information, so their answers are usually correct.</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something the bot does not know</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check a reliable source.</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Why do we see lightning before we hear thunder?</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My friend says AI is always correct because it uses lots of data. Is that true?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plants grow without direct sunlight?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5. Digital Safety Bot</w:t>
      </w:r>
    </w:p>
    <w:p>
      <w:r>
        <w:rPr>
          <w:b/>
        </w:rPr>
        <w:t xml:space="preserve">Chatbot purpose: </w:t>
      </w:r>
      <w:r>
        <w:t>Gives basic digital safety advice.</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passwords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No. Keep your password private and ask a trusted adult for help if necessary.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asking for an address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Do not share your address or personal information. Stop the conversation and tell a trusted adult.</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becoming popular online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Post often, follow popular trends, and try to get as many likes and followers as possible.</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private chatting with someone online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a trusted adult before continuing.</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online asked me where I live. What should I do?</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How can I become popular online?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online says they are my age and wants to chat privately. What should I do?</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Teacher quick challenge map</w:t>
      </w:r>
    </w:p>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Teacher use only</w:t>
            </w:r>
          </w:p>
          <w:p>
            <w:pPr>
              <w:spacing w:after="0"/>
            </w:pPr>
            <w:r>
              <w:t>Do not distribute or reveal this map before students complete their own evaluation.</w:t>
            </w:r>
          </w:p>
        </w:tc>
      </w:tr>
    </w:tbl>
    <w:tbl>
      <w:tblPr>
        <w:tblW w:type="auto" w:w="0"/>
        <w:jc w:val="center"/>
        <w:tblLayout w:type="fixed"/>
        <w:tblLook w:firstColumn="1" w:firstRow="1" w:lastColumn="0" w:lastRow="0" w:noHBand="0" w:noVBand="1" w:val="04A0"/>
      </w:tblPr>
      <w:tblGrid>
        <w:gridCol w:w="3346"/>
        <w:gridCol w:w="3346"/>
        <w:gridCol w:w="3346"/>
      </w:tblGrid>
      <w:tr>
        <w:trPr>
          <w:tblHeader w:val="true"/>
        </w:trPr>
        <w:tc>
          <w:tcPr>
            <w:tcW w:type="dxa" w:w="223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card</w:t>
            </w:r>
          </w:p>
        </w:tc>
        <w:tc>
          <w:tcPr>
            <w:tcW w:type="dxa" w:w="324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Main challenge focus</w:t>
            </w:r>
          </w:p>
        </w:tc>
        <w:tc>
          <w:tcPr>
            <w:tcW w:type="dxa" w:w="496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What students may notice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School Helpdesk</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Usefulness / assumption / tone</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sound judgemental or give too few practical next steps.</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Recycling Advice</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Accuracy / safety / missing conditions</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 answers overgeneralise or give unsafe disposal advice.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Museum Guide</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Bias / inclusiveness / vague wording</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assume what younger students like and may be too vague.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STEM Facts</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Unsupported claim / overconfidence</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present AI as usually correct or make absolute scientific claims.</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Digital Safety</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Safety / wellbeing / limits</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equate online popularity with likes/followers without considering wellbeing or risk.</w:t>
            </w:r>
          </w:p>
        </w:tc>
      </w:tr>
    </w:tbl>
    <w:tbl>
      <w:tblPr>
        <w:tblW w:type="auto" w:w="0"/>
        <w:jc w:val="center"/>
        <w:tblLook w:firstColumn="1" w:firstRow="1" w:lastColumn="0" w:lastRow="0" w:noHBand="0" w:noVBand="1" w:val="04A0"/>
      </w:tblPr>
      <w:tblGrid>
        <w:gridCol w:w="10037"/>
      </w:tblGrid>
      <w:tr>
        <w:tc>
          <w:tcPr>
            <w:tcW w:type="dxa" w:w="10037"/>
            <w:shd w:fill="DDF3EC"/>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 xml:space="preserve">Teacher note  </w:t>
            </w:r>
            <w:r>
              <w:rPr>
                <w:b w:val="0"/>
                <w:color w:val="0E4F6C"/>
              </w:rPr>
              <w:t>Route C is intentionally rule-based and sometimes flawed. Treat unclear, biased, inaccurate, or unsafe answers as learning opportunities. Guide students to explain the issue using evidence, then complete one Part 1 → Part 2 handover principle.</w:t>
            </w:r>
          </w:p>
        </w:tc>
      </w:tr>
    </w:tbl>
    <w:sectPr w:rsidR="00FC693F" w:rsidRPr="0006063C" w:rsidSect="00034616">
      <w:headerReference w:type="default" r:id="rId9"/>
      <w:footerReference w:type="default" r:id="rId10"/>
      <w:headerReference w:type="first" r:id="rId11"/>
      <w:headerReference w:type="even" r:id="rId12"/>
      <w:pgSz w:w="11909" w:h="16834"/>
      <w:pgMar w:top="936" w:right="936" w:bottom="936"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PART 1</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Route C Human-Bot Role Cards — PART 1</dc:title>
  <dc:subject>GenSTEAMers | Chatting with AI | PART 1</dc:subject>
  <dc:creator>GenSTEAMers</dc:creator>
  <cp:keywords>GenSTEAMers, Chatting with AI, PART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