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17320" cy="418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18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0" w:after="160" w:line="252" w:lineRule="auto"/>
        <w:jc w:val="left"/>
      </w:pPr>
      <w:r>
        <w:rPr>
          <w:rFonts w:ascii="Arial" w:hAnsi="Arial" w:eastAsia="Arial"/>
          <w:b w:val="0"/>
          <w:i w:val="0"/>
          <w:color w:val="0E4F6C"/>
          <w:sz w:val="48"/>
        </w:rPr>
        <w:t>Option C Paper Prototype Build Pack</w:t>
      </w:r>
    </w:p>
    <w:p>
      <w:pPr>
        <w:spacing w:before="0" w:after="140" w:line="252" w:lineRule="auto"/>
      </w:pPr>
      <w:r>
        <w:rPr>
          <w:rFonts w:ascii="Arial" w:hAnsi="Arial" w:eastAsia="Arial"/>
          <w:b/>
          <w:i w:val="0"/>
          <w:color w:val="0E4F6C"/>
          <w:sz w:val="22"/>
        </w:rPr>
        <w:t>Cut, complete and store one pack per group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FF2CC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F6000"/>
                <w:sz w:val="21"/>
              </w:rPr>
              <w:t>BUILD RULE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Copy only the approved Part 2 wording. The operator reads cards exactly and never improvises.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EEF6FA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START CARD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Chatbot name: ______________________________</w:t>
              <w:br/>
              <w:t>Target user: ________________________________</w:t>
              <w:br/>
              <w:t>Purpose: ___________________________________</w:t>
              <w:br/>
              <w:t>Choose 1 __________________  2 __________________  3 __________________  0 See limits</w:t>
            </w:r>
          </w:p>
        </w:tc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FFFFFF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CATEGORY 1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Category name: _____________________________</w:t>
              <w:br/>
              <w:t>Go to RESPONSE 1.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EEF6FA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RESPONSE 1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Exact approved response:</w:t>
              <w:br/>
              <w:t>____________________________________________</w:t>
              <w:br/>
              <w:t>____________________________________________</w:t>
            </w:r>
          </w:p>
        </w:tc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FFFFFF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CATEGORY 2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Category name: _____________________________</w:t>
              <w:br/>
              <w:t>Go to RESPONSE 2.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EEF6FA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RESPONSE 2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Exact approved response:</w:t>
              <w:br/>
              <w:t>____________________________________________</w:t>
              <w:br/>
              <w:t>____________________________________________</w:t>
            </w:r>
          </w:p>
        </w:tc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FFFFFF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CATEGORY 3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Category name: _____________________________</w:t>
              <w:br/>
              <w:t>Go to RESPONSE 3.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EEF6FA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RESPONSE 3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Exact approved response:</w:t>
              <w:br/>
              <w:t>____________________________________________</w:t>
              <w:br/>
              <w:t>____________________________________________</w:t>
            </w:r>
          </w:p>
        </w:tc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FFFFFF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LIMITS CARD — 0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Exact limitation / safety response:</w:t>
              <w:br/>
              <w:t>____________________________________________</w:t>
              <w:br/>
              <w:t>____________________________________________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EEF6FA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FALLBACK CARD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Exact recovery response:</w:t>
              <w:br/>
              <w:t>____________________________________________</w:t>
              <w:br/>
              <w:t>____________________________________________</w:t>
            </w:r>
          </w:p>
        </w:tc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FFFFFF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PART 1 FEATURE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Place a ★ on the card or route where the Part 1 requirement is visible.</w:t>
              <w:br/>
              <w:t>Feature location: ____________________________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EEF6FA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OPERATOR RULE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Read the START card. 1 → Response 1. 2 → Response 2. 3 → Response 3. 0 → Limits. Any other input → Fallback. Read the exact card only. Do not explain or improvise.</w:t>
            </w:r>
          </w:p>
        </w:tc>
        <w:tc>
          <w:tcPr>
            <w:tcW w:type="dxa" w:w="5256"/>
            <w:tcBorders>
              <w:top w:val="single" w:sz="12" w:color="0E4F6C"/>
              <w:left w:val="single" w:sz="12" w:color="0E4F6C"/>
              <w:bottom w:val="single" w:sz="12" w:color="0E4F6C"/>
              <w:right w:val="single" w:sz="12" w:color="0E4F6C"/>
              <w:insideH w:val="single" w:sz="12" w:color="0E4F6C"/>
              <w:insideV w:val="single" w:sz="12" w:color="0E4F6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FFFFFF" w:val="clear"/>
          </w:tcPr>
          <w:p>
            <w:pPr>
              <w:spacing w:before="0" w:after="120" w:line="252" w:lineRule="auto"/>
            </w:pPr>
            <w:r>
              <w:rPr>
                <w:rFonts w:ascii="Arial" w:hAnsi="Arial" w:eastAsia="Arial"/>
                <w:b/>
                <w:i w:val="0"/>
                <w:color w:val="0E4F6C"/>
                <w:sz w:val="22"/>
              </w:rPr>
              <w:t>PACK CHECK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☐ Start  ☐ 3 categories  ☐ 3 responses  ☐ Limits  ☐ Fallback  ☐ Operator rule  ☐ Part 1 ★  ☐ Group-code envelope</w:t>
              <w:br/>
              <w:t>Write the anonymous group code on the pack and record the envelope location in the common Build Record.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color w:val="777777"/>
        <w:sz w:val="16"/>
      </w:rPr>
      <w:t>GenSTEAMers | Chatting with AI | PART 3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3 Option C — Paper Prototype Build Pack</dc:title>
  <dc:subject>GenSTEAMers | Chatting with AI | Full Pathway Part 3</dc:subject>
  <dc:creator>GenSTEAMers / EDUMOTIVA</dc:creator>
  <cp:keywords>GenSTEAMers, Chatting with AI, Full Pathway, Part 3, prototype building</cp:keywords>
  <dc:description/>
  <cp:lastModifiedBy>GenSTEAMers / EDUMOTIVA</cp:lastModifiedBy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