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737360" cy="513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51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0" w:after="160" w:line="252" w:lineRule="auto"/>
        <w:jc w:val="left"/>
      </w:pPr>
      <w:r>
        <w:rPr>
          <w:rFonts w:ascii="Arial" w:hAnsi="Arial" w:eastAsia="Arial"/>
          <w:b w:val="0"/>
          <w:i w:val="0"/>
          <w:color w:val="0E4F6C"/>
          <w:sz w:val="48"/>
        </w:rPr>
        <w:t>PART 3 Teacher Quick Walkthrough</w:t>
      </w:r>
    </w:p>
    <w:p>
      <w:pPr>
        <w:spacing w:before="0" w:after="140" w:line="252" w:lineRule="auto"/>
      </w:pPr>
      <w:r>
        <w:rPr>
          <w:rFonts w:ascii="Arial" w:hAnsi="Arial" w:eastAsia="Arial"/>
          <w:b/>
          <w:i w:val="0"/>
          <w:color w:val="0E4F6C"/>
          <w:sz w:val="22"/>
        </w:rPr>
        <w:t>Building the Prototype | 2 × 45 min recommended | Scratch default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DDEBF7" w:val="clear"/>
            <w:tcBorders>
              <w:top w:val="single" w:sz="8" w:color="9CC2E5"/>
              <w:left w:val="single" w:sz="8" w:color="9CC2E5"/>
              <w:bottom w:val="single" w:sz="8" w:color="9CC2E5"/>
              <w:right w:val="single" w:sz="8" w:color="9CC2E5"/>
              <w:insideH w:val="single" w:sz="8" w:color="9CC2E5"/>
              <w:insideV w:val="single" w:sz="8" w:color="9CC2E5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1F4E79"/>
                <w:sz w:val="21"/>
              </w:rPr>
              <w:t>The Part 3 build protocol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Part 2 Build Brief → route and roles → implementation map → core build → fallback + limitation + Part 1 feature → technical smoke check → save → Part 4 Test Brief.</w:t>
            </w:r>
          </w:p>
        </w:tc>
      </w:tr>
    </w:tbl>
    <w:p>
      <w:pPr>
        <w:spacing w:after="0"/>
      </w:pPr>
    </w:p>
    <w:p>
      <w:pPr>
        <w:pStyle w:val="Heading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Two-session flow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08"/>
        <w:gridCol w:w="4536"/>
        <w:gridCol w:w="3384"/>
      </w:tblGrid>
      <w:tr>
        <w:trPr>
          <w:tblHeader w:val="true"/>
        </w:trPr>
        <w:tc>
          <w:tcPr>
            <w:tcW w:type="dxa" w:w="2628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Session</w:t>
            </w:r>
          </w:p>
        </w:tc>
        <w:tc>
          <w:tcPr>
            <w:tcW w:type="dxa" w:w="2628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2628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Teacher focus</w:t>
            </w:r>
          </w:p>
        </w:tc>
        <w:tc>
          <w:tcPr>
            <w:tcW w:type="dxa" w:w="2628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Protected output</w:t>
            </w:r>
          </w:p>
        </w:tc>
      </w:tr>
      <w:tr>
        <w:trPr>
          <w:cantSplit/>
        </w:trPr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Session 1</w:t>
            </w:r>
          </w:p>
        </w:tc>
        <w:tc>
          <w:tcPr>
            <w:tcW w:type="dxa" w:w="100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 min</w:t>
            </w:r>
          </w:p>
        </w:tc>
        <w:tc>
          <w:tcPr>
            <w:tcW w:type="dxa" w:w="453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Usable blueprint, one route, roles, implementation map, start and three category branches, save.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Recoverable core prototype.</w:t>
            </w:r>
          </w:p>
        </w:tc>
      </w:tr>
      <w:tr>
        <w:trPr>
          <w:cantSplit/>
        </w:trPr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Session 2</w:t>
            </w:r>
          </w:p>
        </w:tc>
        <w:tc>
          <w:tcPr>
            <w:tcW w:type="dxa" w:w="100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 min</w:t>
            </w:r>
          </w:p>
        </w:tc>
        <w:tc>
          <w:tcPr>
            <w:tcW w:type="dxa" w:w="453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Fallback, limits, Part 1 feature, independent use, technical verification, save and handover.</w:t>
            </w:r>
          </w:p>
        </w:tc>
        <w:tc>
          <w:tcPr>
            <w:tcW w:type="dxa" w:w="338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Ready-for-testing prototype.</w:t>
            </w:r>
          </w:p>
        </w:tc>
      </w:tr>
    </w:tbl>
    <w:p>
      <w:pPr>
        <w:spacing w:after="0"/>
      </w:pPr>
    </w:p>
    <w:p>
      <w:pPr>
        <w:pStyle w:val="Heading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Five-minute readiness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816"/>
      </w:tblGrid>
      <w:tr>
        <w:trPr>
          <w:tblHeader w:val="true"/>
        </w:trPr>
        <w:tc>
          <w:tcPr>
            <w:tcW w:type="dxa" w:w="350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Check</w:t>
            </w:r>
          </w:p>
        </w:tc>
        <w:tc>
          <w:tcPr>
            <w:tcW w:type="dxa" w:w="350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Proceed when...</w:t>
            </w:r>
          </w:p>
        </w:tc>
        <w:tc>
          <w:tcPr>
            <w:tcW w:type="dxa" w:w="350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If not ready...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Part 2 record</w:t>
            </w:r>
          </w:p>
        </w:tc>
        <w:tc>
          <w:tcPr>
            <w:tcW w:type="dxa" w:w="460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Pages 1–4 are present.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Retrieve the record; do not recreate it from memory.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Build decision</w:t>
            </w:r>
          </w:p>
        </w:tc>
        <w:tc>
          <w:tcPr>
            <w:tcW w:type="dxa" w:w="460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Ready to build, or one named Revise first repair.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Complete only the named repair.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Route</w:t>
            </w:r>
          </w:p>
        </w:tc>
        <w:tc>
          <w:tcPr>
            <w:tcW w:type="dxa" w:w="460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One route is selected and prepared.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Assign the teacher-prepared route; do not browse tools.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Save method</w:t>
            </w:r>
          </w:p>
        </w:tc>
        <w:tc>
          <w:tcPr>
            <w:tcW w:type="dxa" w:w="460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Group knows filename/location.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Set anonymous group code and storage now.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Roles</w:t>
            </w:r>
          </w:p>
        </w:tc>
        <w:tc>
          <w:tcPr>
            <w:tcW w:type="dxa" w:w="460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Blueprint Keeper, Builder, Checker, Recorder.</w:t>
            </w:r>
          </w:p>
        </w:tc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Assign roles before the device opens.</w:t>
            </w:r>
          </w:p>
        </w:tc>
      </w:tr>
    </w:tbl>
    <w:p>
      <w:pPr>
        <w:spacing w:after="0"/>
      </w:pPr>
    </w:p>
    <w:p>
      <w:pPr>
        <w:pStyle w:val="Heading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What to protect if time is tight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working start and use instruction;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three approved category responses;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distinct fallback and limitation/safety;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implemented Part 1 feature;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start/reset and route reachability;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save/access information and Part 4 Test Brief.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CE9CF" w:val="clear"/>
            <w:tcBorders>
              <w:top w:val="single" w:sz="8" w:color="E2A46B"/>
              <w:left w:val="single" w:sz="8" w:color="E2A46B"/>
              <w:bottom w:val="single" w:sz="8" w:color="E2A46B"/>
              <w:right w:val="single" w:sz="8" w:color="E2A46B"/>
              <w:insideH w:val="single" w:sz="8" w:color="E2A46B"/>
              <w:insideV w:val="single" w:sz="8" w:color="E2A46B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B56810"/>
                <w:sz w:val="21"/>
              </w:rPr>
              <w:t>Cut first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Decoration, extra sprites, sounds, extra questions, extra responses, alternative layouts, open GenAI troubleshooting and presentations.</w:t>
            </w:r>
          </w:p>
        </w:tc>
      </w:tr>
    </w:tbl>
    <w:p>
      <w:pPr>
        <w:spacing w:after="0"/>
      </w:pPr>
    </w:p>
    <w:p>
      <w:pPr>
        <w:pStyle w:val="Heading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Prevent single-teacher bottlenecks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6"/>
        <w:gridCol w:w="6552"/>
      </w:tblGrid>
      <w:tr>
        <w:trPr>
          <w:tblHeader w:val="true"/>
        </w:trPr>
        <w:tc>
          <w:tcPr>
            <w:tcW w:type="dxa" w:w="52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Pressure point</w:t>
            </w:r>
          </w:p>
        </w:tc>
        <w:tc>
          <w:tcPr>
            <w:tcW w:type="dxa" w:w="52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Prevention</w:t>
            </w:r>
          </w:p>
        </w:tc>
      </w:tr>
      <w:tr>
        <w:trPr>
          <w:cantSplit/>
        </w:trPr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Everyone asks where blocks are</w:t>
            </w:r>
          </w:p>
        </w:tc>
        <w:tc>
          <w:tcPr>
            <w:tcW w:type="dxa" w:w="655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Display X-BEG; pre-open the correct categories; use the Scratch Build Card.</w:t>
            </w:r>
          </w:p>
        </w:tc>
      </w:tr>
      <w:tr>
        <w:trPr>
          <w:cantSplit/>
        </w:trPr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Nested if/else errors</w:t>
            </w:r>
          </w:p>
        </w:tc>
        <w:tc>
          <w:tcPr>
            <w:tcW w:type="dxa" w:w="655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Use the starter/reference; groups check one branch at a time.</w:t>
            </w:r>
          </w:p>
        </w:tc>
      </w:tr>
      <w:tr>
        <w:trPr>
          <w:cantSplit/>
        </w:trPr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One student controls the device</w:t>
            </w:r>
          </w:p>
        </w:tc>
        <w:tc>
          <w:tcPr>
            <w:tcW w:type="dxa" w:w="655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Rotate Builder/Operator after the core routes.</w:t>
            </w:r>
          </w:p>
        </w:tc>
      </w:tr>
      <w:tr>
        <w:trPr>
          <w:cantSplit/>
        </w:trPr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Saving is left until the end</w:t>
            </w:r>
          </w:p>
        </w:tc>
        <w:tc>
          <w:tcPr>
            <w:tcW w:type="dxa" w:w="655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Save at the end of Session 1 and reopen once.</w:t>
            </w:r>
          </w:p>
        </w:tc>
      </w:tr>
      <w:tr>
        <w:trPr>
          <w:cantSplit/>
        </w:trPr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Different routes need help simultaneously</w:t>
            </w:r>
          </w:p>
        </w:tc>
        <w:tc>
          <w:tcPr>
            <w:tcW w:type="dxa" w:w="655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Use one route for the class; mixed routes only with extra support.</w:t>
            </w:r>
          </w:p>
        </w:tc>
      </w:tr>
      <w:tr>
        <w:trPr>
          <w:cantSplit/>
        </w:trPr>
        <w:tc>
          <w:tcPr>
            <w:tcW w:type="dxa" w:w="381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Platform failure</w:t>
            </w:r>
          </w:p>
        </w:tc>
        <w:tc>
          <w:tcPr>
            <w:tcW w:type="dxa" w:w="655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Switch the group to the prepared paper pack and record the access change.</w:t>
            </w:r>
          </w:p>
        </w:tc>
      </w:tr>
    </w:tbl>
    <w:p>
      <w:pPr>
        <w:spacing w:after="0"/>
      </w:pPr>
    </w:p>
    <w:p>
      <w:pPr>
        <w:pStyle w:val="Heading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Teacher language during building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“Keep the Part 2 blueprint open. Build what you already decided.”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“Is this a technical repair, or are you redesigning before testing?”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“Show me where the fallback and the limitation are different.”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“A smoke check asks whether the route runs, not whether the response is good.”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“Another group must be able to start this without you explaining hidden steps.”</w:t>
      </w:r>
    </w:p>
    <w:p>
      <w:pPr>
        <w:pStyle w:val="ListParagraph"/>
        <w:spacing w:before="0" w:after="50" w:line="252" w:lineRule="auto"/>
        <w:ind w:left="259" w:hanging="259"/>
      </w:pPr>
      <w:r>
        <w:rPr>
          <w:rFonts w:ascii="Arial" w:hAnsi="Arial" w:eastAsia="Arial"/>
          <w:b w:val="0"/>
          <w:i w:val="0"/>
        </w:rPr>
        <w:t xml:space="preserve">• </w:t>
      </w:r>
      <w:r>
        <w:rPr>
          <w:rFonts w:ascii="Arial" w:hAnsi="Arial" w:eastAsia="Arial"/>
          <w:b w:val="0"/>
          <w:i w:val="0"/>
        </w:rPr>
        <w:t>“Save before you decorate.”</w:t>
      </w:r>
    </w:p>
    <w:p>
      <w:pPr>
        <w:pStyle w:val="Heading2"/>
        <w:spacing w:before="100" w:after="80" w:line="252" w:lineRule="auto"/>
      </w:pPr>
      <w:r>
        <w:rPr>
          <w:rFonts w:ascii="Arial" w:hAnsi="Arial" w:eastAsia="Arial"/>
          <w:b/>
          <w:i w:val="0"/>
          <w:color w:val="1F4E79"/>
          <w:sz w:val="28"/>
        </w:rPr>
        <w:t>End-of-Part 3 submission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8064"/>
      </w:tblGrid>
      <w:tr>
        <w:trPr>
          <w:tblHeader w:val="true"/>
        </w:trPr>
        <w:tc>
          <w:tcPr>
            <w:tcW w:type="dxa" w:w="52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52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Required</w:t>
            </w:r>
          </w:p>
        </w:tc>
      </w:tr>
      <w:tr>
        <w:trPr>
          <w:cantSplit/>
        </w:trPr>
        <w:tc>
          <w:tcPr>
            <w:tcW w:type="dxa" w:w="230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Prototype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Saved Scratch project/.sb3, approved setup record, or complete labelled paper pack.</w:t>
            </w:r>
          </w:p>
        </w:tc>
      </w:tr>
      <w:tr>
        <w:trPr>
          <w:cantSplit/>
        </w:trPr>
        <w:tc>
          <w:tcPr>
            <w:tcW w:type="dxa" w:w="230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S1 pages 1–3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Route, roles, implementation map and technical verification.</w:t>
            </w:r>
          </w:p>
        </w:tc>
      </w:tr>
      <w:tr>
        <w:trPr>
          <w:cantSplit/>
        </w:trPr>
        <w:tc>
          <w:tcPr>
            <w:tcW w:type="dxa" w:w="230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S1 page 4</w:t>
            </w:r>
          </w:p>
        </w:tc>
        <w:tc>
          <w:tcPr>
            <w:tcW w:type="dxa" w:w="806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Access details, exact principle test, expected behaviour and readiness decision.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color w:val="777777"/>
        <w:sz w:val="16"/>
      </w:rPr>
      <w:t>GenSTEAMers | Chatting with AI | PART 3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3 Teacher Walkthrough and Readiness</dc:title>
  <dc:subject>GenSTEAMers | Chatting with AI | Full Pathway Part 3</dc:subject>
  <dc:creator>GenSTEAMers / EDUMOTIVA</dc:creator>
  <cp:keywords>GenSTEAMers, Chatting with AI, Full Pathway, Part 3, prototype building</cp:keywords>
  <dc:description/>
  <cp:lastModifiedBy>GenSTEAMers / EDUMOTIVA</cp:lastModifiedBy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