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A — Scratch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Default route | Use with an open saved project, Part 3 Test Brief, S1 record and Four Test Missions Card.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Project access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correct saved project opens on the original device where possible.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Start and reset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Green flag / agreed start action works; testers know how to return to the beginning.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Independence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Creators have stepped away and the interface/Test Brief provide the instructions.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Click the green flag or agreed start action. Do not open the editor.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start message or first visible choice.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T1 using the exact principle-test input.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exact on-screen behaviour.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T2 supported use.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category/branch and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T3 unclear/fallback.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fallback and recovery guidance.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T4 outside scope/limitation.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 statement and redirection.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the tester review and return S1.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Cite T1–T4; do not edit blocks.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Actual route reached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Write the branch/category or visible response, not what you expected.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Fallback versus limitation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Check that unclear input and outside-scope input do not receive the same inappropriate behaviour.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 reliability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Note a Blocked status if previous input changes the next test and reset is unavailable.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Leave the project editor closed during T1–T4. Opening or changing blocks would destroy the independence of the evidence.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Try one reopen/restart. If the project is still inaccessible after two minutes, use only a paper backup completed and verified against the same prototype state before Part 4. Otherwise record the Scratch access block as Blocked and select RETEST NEEDED.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