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 w:after="40" w:line="240" w:lineRule="auto"/>
        <w:ind w:left="0" w:right="0"/>
        <w:keepNext/>
      </w:pPr>
      <w:r>
        <w:rPr>
          <w:rFonts w:ascii="Arial" w:hAnsi="Arial" w:eastAsia="Arial"/>
          <w:b w:val="0"/>
          <w:i w:val="0"/>
          <w:color w:val="0E4F6C"/>
          <w:sz w:val="36"/>
        </w:rPr>
        <w:t>GenSTEAMers | Chatting with AI | Full Pathway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c>
          <w:tcPr>
            <w:tcW w:type="dxa" w:w="10656"/>
            <w:shd w:fill="1F5C99" w:val="clea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2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26"/>
              </w:rPr>
              <w:t>PART 4 — Four Test Missions</w:t>
            </w:r>
          </w:p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FFFFFF"/>
                <w:sz w:val="16"/>
              </w:rPr>
              <w:t>Use with the Part 3 Test Brief and the Independent Test and Review Record. Test first. Judge second. Do not change the prototype.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rPr>
          <w:cantSplit/>
        </w:trPr>
        <w:tc>
          <w:tcPr>
            <w:tcW w:type="dxa" w:w="10656"/>
            <w:shd w:fill="DDEBF7" w:val="clear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9FBAD0"/>
              <w:left w:val="single" w:sz="5" w:color="9FBAD0"/>
              <w:bottom w:val="single" w:sz="5" w:color="9FBAD0"/>
              <w:right w:val="single" w:sz="5" w:color="9FBAD0"/>
            </w:tcBorders>
          </w:tcPr>
          <w:p>
            <w:pPr>
              <w:spacing w:before="0" w:after="2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0E4F6C"/>
                <w:sz w:val="16"/>
              </w:rPr>
              <w:t>Independent tester rule</w:t>
            </w:r>
          </w:p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Do not ask the creators to explain categories, expected answers or hidden steps. They may show only how to start/access the prototype before testing begins.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rPr>
          <w:cantSplit/>
          <w:tblHeader w:val="true"/>
        </w:trPr>
        <w:tc>
          <w:tcPr>
            <w:tcW w:type="dxa" w:w="187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1F4E79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14"/>
              </w:rPr>
              <w:t>Mission</w:t>
            </w:r>
          </w:p>
        </w:tc>
        <w:tc>
          <w:tcPr>
            <w:tcW w:type="dxa" w:w="266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1F4E79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14"/>
              </w:rPr>
              <w:t>Input</w:t>
            </w:r>
          </w:p>
        </w:tc>
        <w:tc>
          <w:tcPr>
            <w:tcW w:type="dxa" w:w="300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1F4E79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14"/>
              </w:rPr>
              <w:t>Evidence to record</w:t>
            </w:r>
          </w:p>
        </w:tc>
        <w:tc>
          <w:tcPr>
            <w:tcW w:type="dxa" w:w="209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1F4E79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14"/>
              </w:rPr>
              <w:t>Review focus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T1 — PRINCIPLE</w:t>
            </w:r>
          </w:p>
        </w:tc>
        <w:tc>
          <w:tcPr>
            <w:tcW w:type="dxa" w:w="266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/>
                <w:b w:val="0"/>
                <w:i w:val="0"/>
                <w:color w:val="000000"/>
                <w:sz w:val="14"/>
              </w:rPr>
              <w:t>Use the exact principle-test idea from Part 2, transferred through the Part 3 Test Brief, to test the Part 1 principle.</w:t>
            </w:r>
          </w:p>
        </w:tc>
        <w:tc>
          <w:tcPr>
            <w:tcW w:type="dxa" w:w="300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Exact input + visible response/route + expected behaviour comparison.</w:t>
            </w:r>
          </w:p>
        </w:tc>
        <w:tc>
          <w:tcPr>
            <w:tcW w:type="dxa" w:w="209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Is the Part 1 principle observable?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T2 — SUPPORTED</w:t>
            </w:r>
          </w:p>
        </w:tc>
        <w:tc>
          <w:tcPr>
            <w:tcW w:type="dxa" w:w="266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Use one realistic input that matches a declared category or route.</w:t>
            </w:r>
          </w:p>
        </w:tc>
        <w:tc>
          <w:tcPr>
            <w:tcW w:type="dxa" w:w="300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Exact input + category/route + response.</w:t>
            </w:r>
          </w:p>
        </w:tc>
        <w:tc>
          <w:tcPr>
            <w:tcW w:type="dxa" w:w="209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Is normal use clear and useful?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T3 — UNCLEAR</w:t>
            </w:r>
          </w:p>
        </w:tc>
        <w:tc>
          <w:tcPr>
            <w:tcW w:type="dxa" w:w="266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Use safe ambiguous wording or an invalid menu choice.</w:t>
            </w:r>
          </w:p>
        </w:tc>
        <w:tc>
          <w:tcPr>
            <w:tcW w:type="dxa" w:w="300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Exact input + fallback response + recovery guidance.</w:t>
            </w:r>
          </w:p>
        </w:tc>
        <w:tc>
          <w:tcPr>
            <w:tcW w:type="dxa" w:w="209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Does fallback help the user continue?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T4 — OUTSIDE SCOPE</w:t>
            </w:r>
          </w:p>
        </w:tc>
        <w:tc>
          <w:tcPr>
            <w:tcW w:type="dxa" w:w="266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Use one safe fictional request outside the declared scope.</w:t>
            </w:r>
          </w:p>
        </w:tc>
        <w:tc>
          <w:tcPr>
            <w:tcW w:type="dxa" w:w="300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Exact input + limitation/safety response + redirection.</w:t>
            </w:r>
          </w:p>
        </w:tc>
        <w:tc>
          <w:tcPr>
            <w:tcW w:type="dxa" w:w="209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Does the chatbot state its limits?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rPr>
          <w:cantSplit/>
        </w:trPr>
        <w:tc>
          <w:tcPr>
            <w:tcW w:type="dxa" w:w="10656"/>
            <w:shd w:fill="E2F0D9" w:val="clear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9FBAD0"/>
              <w:left w:val="single" w:sz="5" w:color="9FBAD0"/>
              <w:bottom w:val="single" w:sz="5" w:color="9FBAD0"/>
              <w:right w:val="single" w:sz="5" w:color="9FBAD0"/>
            </w:tcBorders>
          </w:tcPr>
          <w:p>
            <w:pPr>
              <w:spacing w:before="0" w:after="2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0E4F6C"/>
                <w:sz w:val="15"/>
              </w:rPr>
              <w:t>Evidence sentence</w:t>
            </w:r>
          </w:p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Input: [exact words or choice]. Observed behaviour: [what the chatbot displayed, said, asked or routed to]. Then make a bounded judgement and cite T1, T2, T3 or T4.</w:t>
            </w:r>
          </w:p>
        </w:tc>
      </w:tr>
    </w:tbl>
    <w:p>
      <w:pPr>
        <w:pStyle w:val="Heading3"/>
        <w:spacing w:before="80" w:after="60" w:line="240" w:lineRule="auto"/>
        <w:ind w:left="0" w:right="0"/>
        <w:keepNext/>
      </w:pPr>
      <w:r>
        <w:rPr>
          <w:rFonts w:ascii="Arial" w:hAnsi="Arial" w:eastAsia="Arial"/>
          <w:b/>
          <w:i w:val="0"/>
          <w:color w:val="0E4F6C"/>
          <w:sz w:val="22"/>
        </w:rPr>
        <w:t>Safe testing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cantSplit/>
          <w:tblHeader w:val="true"/>
        </w:trPr>
        <w:tc>
          <w:tcPr>
            <w:tcW w:type="dxa" w:w="481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1F4E79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15"/>
              </w:rPr>
              <w:t>Use</w:t>
            </w:r>
          </w:p>
        </w:tc>
        <w:tc>
          <w:tcPr>
            <w:tcW w:type="dxa" w:w="481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1F4E79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15"/>
              </w:rPr>
              <w:t>Do not use</w:t>
            </w:r>
          </w:p>
        </w:tc>
      </w:tr>
      <w:tr>
        <w:trPr>
          <w:cantSplit/>
        </w:trPr>
        <w:tc>
          <w:tcPr>
            <w:tcW w:type="dxa" w:w="481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Fictional, non-personal, non-sensitive, school-appropriate inputs connected to the interface or scope.</w:t>
            </w:r>
          </w:p>
        </w:tc>
        <w:tc>
          <w:tcPr>
            <w:tcW w:type="dxa" w:w="481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Private experiences, personal data, health/legal advice, identity-based scenarios, hostile content, jailbreaks or safeguard-bypass attempts.</w:t>
            </w:r>
          </w:p>
        </w:tc>
      </w:tr>
    </w:tbl>
    <w:p>
      <w:pPr>
        <w:pStyle w:val="Heading3"/>
        <w:spacing w:before="80" w:after="60" w:line="240" w:lineRule="auto"/>
        <w:ind w:left="0" w:right="0"/>
        <w:keepNext/>
      </w:pPr>
      <w:r>
        <w:rPr>
          <w:rFonts w:ascii="Arial" w:hAnsi="Arial" w:eastAsia="Arial"/>
          <w:b/>
          <w:i w:val="0"/>
          <w:color w:val="0E4F6C"/>
          <w:sz w:val="22"/>
        </w:rPr>
        <w:t>After T1–T4</w:t>
      </w:r>
    </w:p>
    <w:p>
      <w:pPr>
        <w:pStyle w:val="ListParagraph"/>
        <w:spacing w:before="0" w:after="30" w:line="240" w:lineRule="auto"/>
        <w:ind w:left="0" w:right="0"/>
      </w:pPr>
      <w:r>
        <w:rPr>
          <w:rFonts w:ascii="Arial" w:hAnsi="Arial" w:eastAsia="Arial"/>
          <w:b/>
          <w:i w:val="0"/>
          <w:color w:val="000000"/>
          <w:sz w:val="15"/>
        </w:rPr>
        <w:t xml:space="preserve">• </w:t>
      </w:r>
      <w:r>
        <w:rPr>
          <w:rFonts w:ascii="Arial" w:hAnsi="Arial" w:eastAsia="Arial"/>
          <w:b w:val="0"/>
          <w:i w:val="0"/>
          <w:color w:val="000000"/>
          <w:sz w:val="15"/>
        </w:rPr>
        <w:t>Complete the evidence review only after all four missions.</w:t>
      </w:r>
    </w:p>
    <w:p>
      <w:pPr>
        <w:pStyle w:val="ListParagraph"/>
        <w:spacing w:before="0" w:after="30" w:line="240" w:lineRule="auto"/>
        <w:ind w:left="0" w:right="0"/>
      </w:pPr>
      <w:r>
        <w:rPr>
          <w:rFonts w:ascii="Arial" w:hAnsi="Arial" w:eastAsia="Arial"/>
          <w:b/>
          <w:i w:val="0"/>
          <w:color w:val="000000"/>
          <w:sz w:val="15"/>
        </w:rPr>
        <w:t xml:space="preserve">• </w:t>
      </w:r>
      <w:r>
        <w:rPr>
          <w:rFonts w:ascii="Arial" w:hAnsi="Arial" w:eastAsia="Arial"/>
          <w:b w:val="0"/>
          <w:i w:val="0"/>
          <w:color w:val="000000"/>
          <w:sz w:val="15"/>
        </w:rPr>
        <w:t>Write one Verified Strength and one Priority Review Finding with a test ID.</w:t>
      </w:r>
    </w:p>
    <w:p>
      <w:pPr>
        <w:pStyle w:val="ListParagraph"/>
        <w:spacing w:before="0" w:after="30" w:line="240" w:lineRule="auto"/>
        <w:ind w:left="0" w:right="0"/>
      </w:pPr>
      <w:r>
        <w:rPr>
          <w:rFonts w:ascii="Arial" w:hAnsi="Arial" w:eastAsia="Arial"/>
          <w:b/>
          <w:i w:val="0"/>
          <w:color w:val="000000"/>
          <w:sz w:val="15"/>
        </w:rPr>
        <w:t xml:space="preserve">• </w:t>
      </w:r>
      <w:r>
        <w:rPr>
          <w:rFonts w:ascii="Arial" w:hAnsi="Arial" w:eastAsia="Arial"/>
          <w:b w:val="0"/>
          <w:i w:val="0"/>
          <w:color w:val="000000"/>
          <w:sz w:val="15"/>
        </w:rPr>
        <w:t>Return the record to the creators.</w:t>
      </w:r>
    </w:p>
    <w:p>
      <w:pPr>
        <w:pStyle w:val="ListParagraph"/>
        <w:spacing w:before="0" w:after="30" w:line="240" w:lineRule="auto"/>
        <w:ind w:left="0" w:right="0"/>
      </w:pPr>
      <w:r>
        <w:rPr>
          <w:rFonts w:ascii="Arial" w:hAnsi="Arial" w:eastAsia="Arial"/>
          <w:b/>
          <w:i w:val="0"/>
          <w:color w:val="000000"/>
          <w:sz w:val="15"/>
        </w:rPr>
        <w:t xml:space="preserve">• </w:t>
      </w:r>
      <w:r>
        <w:rPr>
          <w:rFonts w:ascii="Arial" w:hAnsi="Arial" w:eastAsia="Arial"/>
          <w:b w:val="0"/>
          <w:i w:val="0"/>
          <w:color w:val="000000"/>
          <w:sz w:val="15"/>
        </w:rPr>
        <w:t>Do not prescribe a rewrite. Part 5 will design and verify the change.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rPr>
          <w:cantSplit/>
        </w:trPr>
        <w:tc>
          <w:tcPr>
            <w:tcW w:type="dxa" w:w="10656"/>
            <w:shd w:fill="FFF2CC" w:val="clear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9FBAD0"/>
              <w:left w:val="single" w:sz="5" w:color="9FBAD0"/>
              <w:bottom w:val="single" w:sz="5" w:color="9FBAD0"/>
              <w:right w:val="single" w:sz="5" w:color="9FBAD0"/>
            </w:tcBorders>
          </w:tcPr>
          <w:p>
            <w:pPr>
              <w:spacing w:before="0" w:after="2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0E4F6C"/>
                <w:sz w:val="15"/>
              </w:rPr>
              <w:t>Reset between missions</w:t>
            </w:r>
          </w:p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Return to the start or reset the prototype before the next input. If a test cannot be completed, write Blocked and the exact reason.</w:t>
            </w:r>
          </w:p>
        </w:tc>
      </w:tr>
    </w:tbl>
    <w:sectPr>
      <w:headerReference w:type="default" r:id="rId9"/>
      <w:footerReference w:type="default" r:id="rId10"/>
      <w:pgSz w:w="12240" w:h="15840"/>
      <w:pgMar w:top="504" w:right="792" w:bottom="504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Arial" w:hAnsi="Arial"/>
        <w:color w:val="777777"/>
        <w:sz w:val="16"/>
      </w:rPr>
      <w:t>GenSTEAMers | Chatting with AI | PART 4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06_CORE3_Scratch_Test_Decide_Confirm_Card</dc:title>
  <dc:subject>GenSTEAMers - Chatting with AI</dc:subject>
  <dc:creator/>
  <cp:keywords>GenSTEAMers, CORE 3, chatbot, peer testing, revision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