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PART 4 Teacher Quick Walkthrough</w:t>
      </w:r>
    </w:p>
    <w:p>
      <w:pPr>
        <w:spacing w:before="0" w:after="60" w:line="240" w:lineRule="auto"/>
        <w:ind w:left="0" w:right="0"/>
      </w:pPr>
      <w:r>
        <w:rPr>
          <w:rFonts w:ascii="Arial" w:hAnsi="Arial" w:eastAsia="Arial"/>
          <w:b/>
          <w:i w:val="0"/>
          <w:color w:val="0E4F6C"/>
          <w:sz w:val="17"/>
        </w:rPr>
        <w:t>Testing and Reviewing | 45 min standard | 60 min extended | Scratch default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fill="DDEBF7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7"/>
              </w:rPr>
              <w:t>Part 4 evidence cycle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Part 3 Test Brief → four independent test missions → observable evidence → tester review → creator Part 5 decision → embedded handover. No editing or verification after change occurs here.</w:t>
            </w:r>
          </w:p>
        </w:tc>
      </w:tr>
    </w:tbl>
    <w:p>
      <w:pPr>
        <w:pStyle w:val="Heading2"/>
        <w:spacing w:before="80" w:after="6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28"/>
        </w:rPr>
        <w:t>Before students enter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cantSplit/>
          <w:tblHeader w:val="true"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Proceed when...</w:t>
            </w:r>
          </w:p>
        </w:tc>
        <w:tc>
          <w:tcPr>
            <w:tcW w:type="dxa" w:w="385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If not ready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Prototype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Opens, starts and resets without creator explanation.</w:t>
            </w:r>
          </w:p>
        </w:tc>
        <w:tc>
          <w:tcPr>
            <w:tcW w:type="dxa" w:w="385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One recovery attempt; after two minutes use only a verified same-state paper backup. Otherwise record Blocked.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Test Brief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Part 3 Build Record page 4 is present.</w:t>
            </w:r>
          </w:p>
        </w:tc>
        <w:tc>
          <w:tcPr>
            <w:tcW w:type="dxa" w:w="385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Retrieve it; do not reconstruct from memory.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Pairing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Every group is paired with a different creator group.</w:t>
            </w:r>
          </w:p>
        </w:tc>
        <w:tc>
          <w:tcPr>
            <w:tcW w:type="dxa" w:w="385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Pair in advance; one prototype per testing group.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One S1 is labelled for each creator prototype.</w:t>
            </w:r>
          </w:p>
        </w:tc>
        <w:tc>
          <w:tcPr>
            <w:tcW w:type="dxa" w:w="385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Prepare before the lesson.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Route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Only the selected P-A, P-B or P-C is distributed.</w:t>
            </w:r>
          </w:p>
        </w:tc>
        <w:tc>
          <w:tcPr>
            <w:tcW w:type="dxa" w:w="385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Remove irrelevant route cards.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Privacy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No personal or sensitive information is present.</w:t>
            </w:r>
          </w:p>
        </w:tc>
        <w:tc>
          <w:tcPr>
            <w:tcW w:type="dxa" w:w="385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Remove or replace it before testing.</w:t>
            </w:r>
          </w:p>
        </w:tc>
      </w:tr>
    </w:tbl>
    <w:p>
      <w:pPr>
        <w:pStyle w:val="Heading2"/>
        <w:spacing w:before="80" w:after="6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28"/>
        </w:rPr>
        <w:t>45-minute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cantSplit/>
          <w:tblHeader w:val="true"/>
        </w:trPr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Time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Move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Non-negotiable output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0–5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Reconnect, label records, check access.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Prototype + Test Brief + correct record.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5–10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Model input → observable behaviour → later judgement.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Students understand evidence-first rule.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10–28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Run T1 principle, T2 supported, T3 unclear, T4 outside scope.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Four evidence rows or exact Blocked status.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28–35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Tester review and return.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Review matrix + strength + priority finding, linked to test IDs.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35–43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Creator review decision.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Improve or Keep + evidence reason + Part 5 verification input.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43–45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Privacy, handover, collect.</w:t>
            </w:r>
          </w:p>
        </w:tc>
        <w:tc>
          <w:tcPr>
            <w:tcW w:type="dxa" w:w="42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Complete evidence package.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7"/>
              </w:rPr>
              <w:t>Time rule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Reduce discussion before reducing the protocol. Omit optional GenAI and whole-class debrief first. Do not remove T3 or T4.</w:t>
            </w:r>
          </w:p>
        </w:tc>
      </w:tr>
    </w:tbl>
    <w:p>
      <w:pPr>
        <w:pStyle w:val="Heading2"/>
        <w:spacing w:before="80" w:after="6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28"/>
        </w:rPr>
        <w:t>Teacher language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6"/>
        </w:rPr>
        <w:t>“Creators are silent. We are testing whether the prototype can explain itself.”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6"/>
        </w:rPr>
        <w:t>“What exact input did you use? What happened on screen, in the setup or in the paper route?”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6"/>
        </w:rPr>
        <w:t>“Which test ID supports that judgement?”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6"/>
        </w:rPr>
        <w:t>“No concern observed is not proof of perfect fairness.”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6"/>
        </w:rPr>
        <w:t>“Name the feature and evidence now. Design the solution in Part 5.”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6"/>
        </w:rPr>
        <w:t>“Keep is valid when the evidence supports it.”</w:t>
      </w:r>
    </w:p>
    <w:p>
      <w:pPr>
        <w:spacing w:before="0" w:after="0" w:line="240" w:lineRule="auto"/>
        <w:ind w:left="0" w:right="0"/>
      </w:pPr>
      <w:r>
        <w:br w:type="page"/>
      </w:r>
    </w:p>
    <w:p>
      <w:pPr>
        <w:pStyle w:val="Heading2"/>
        <w:spacing w:before="80" w:after="6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28"/>
        </w:rPr>
        <w:t>Four-test protocol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cantSplit/>
          <w:tblHeader w:val="true"/>
        </w:trPr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Test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Purpose</w:t>
            </w:r>
          </w:p>
        </w:tc>
        <w:tc>
          <w:tcPr>
            <w:tcW w:type="dxa" w:w="37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Reset / evidence reminder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T1 principle-specific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Use the exact principle-test idea from Part 2, transferred in the Part 3 Test Brief.</w:t>
            </w:r>
          </w:p>
        </w:tc>
        <w:tc>
          <w:tcPr>
            <w:tcW w:type="dxa" w:w="37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exact input and expected behaviour match.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T2 supported use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Check a normal declared category or route.</w:t>
            </w:r>
          </w:p>
        </w:tc>
        <w:tc>
          <w:tcPr>
            <w:tcW w:type="dxa" w:w="37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route and response.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T3 unclear / fallback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Check safe ambiguity or invalid menu choice.</w:t>
            </w:r>
          </w:p>
        </w:tc>
        <w:tc>
          <w:tcPr>
            <w:tcW w:type="dxa" w:w="37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recovery guidance.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T4 outside scope / limitation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Check one safe fictional request outside scope.</w:t>
            </w:r>
          </w:p>
        </w:tc>
        <w:tc>
          <w:tcPr>
            <w:tcW w:type="dxa" w:w="37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limit statement and redirection.</w:t>
            </w:r>
          </w:p>
        </w:tc>
      </w:tr>
    </w:tbl>
    <w:p>
      <w:pPr>
        <w:pStyle w:val="Heading2"/>
        <w:spacing w:before="80" w:after="6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28"/>
        </w:rPr>
        <w:t>Pressure 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Pressure point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Prevention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Creators explain or defend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Move creators away; allow only the start/access action before testing.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Opinions replace evidence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Require exact input + visible response/route before judgement.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Students start fixing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Close editor / put down cards; record feature + evidence + Part 5 input.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Access consumes testing time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Two-minute limit; use only a verified same-state paper backup. Otherwise record Blocked and RETEST NEEDED.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Bias claims become broad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Require specific evidence and bounded wording.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Cosmetic change chosen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Ask which test showed a relevant problem; otherwise Keep.</w:t>
            </w:r>
          </w:p>
        </w:tc>
      </w:tr>
    </w:tbl>
    <w:p>
      <w:pPr>
        <w:pStyle w:val="Heading2"/>
        <w:spacing w:before="80" w:after="6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28"/>
        </w:rPr>
        <w:t>Optional GenAI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fill="E4DFE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7"/>
              </w:rPr>
              <w:t>Use only after human evidence and initial judgement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GenAI may ask one evidence-challenging or bias-critique question. Students Accept, Adapt or Reject. It may not create findings, choose the decision or write the Part 5 solution.</w:t>
            </w:r>
          </w:p>
        </w:tc>
      </w:tr>
    </w:tbl>
    <w:p>
      <w:pPr>
        <w:pStyle w:val="Heading2"/>
        <w:spacing w:before="80" w:after="6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28"/>
        </w:rPr>
        <w:t>End-of-Part 4 submission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  <w:tblHeader w:val="true"/>
        </w:trP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Item</w:t>
            </w:r>
          </w:p>
        </w:tc>
        <w:tc>
          <w:tcPr>
            <w:tcW w:type="dxa" w:w="737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Prototype</w:t>
            </w:r>
          </w:p>
        </w:tc>
        <w:tc>
          <w:tcPr>
            <w:tcW w:type="dxa" w:w="737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Accessible and unchanged from the tested Part 4 state.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Part 3 Test Brief</w:t>
            </w:r>
          </w:p>
        </w:tc>
        <w:tc>
          <w:tcPr>
            <w:tcW w:type="dxa" w:w="737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Available with target user, purpose, principle test and expected behaviour.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S1 pages 1–3</w:t>
            </w:r>
          </w:p>
        </w:tc>
        <w:tc>
          <w:tcPr>
            <w:tcW w:type="dxa" w:w="737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T1–T4 evidence and tester review complete.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S1 page 4</w:t>
            </w:r>
          </w:p>
        </w:tc>
        <w:tc>
          <w:tcPr>
            <w:tcW w:type="dxa" w:w="737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Creator decision, evidence reference, verification input, privacy and handover complete.</w:t>
            </w:r>
          </w:p>
        </w:tc>
      </w:tr>
    </w:tbl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color w:val="777777"/>
        <w:sz w:val="16"/>
      </w:rPr>
      <w:t>GenSTEAMers | Chatting with AI | PART 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4 Teacher Walkthrough and Readiness</dc:title>
  <dc:subject>GenSTEAMers | Chatting with AI | Full Pathway Part 4</dc:subject>
  <dc:creator/>
  <cp:keywords>GenSTEAMers, Chatting with AI, Full Pathway, Part 4, teacher walkthrough, testing readiness</cp:keywords>
  <dc:description/>
  <cp:lastModifiedBy/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