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5"/>
        <w:spacing w:before="0" w:after="100" w:line="240" w:lineRule="auto"/>
        <w:ind w:left="0" w:right="0"/>
        <w:keepNext/>
      </w:pPr>
      <w:r>
        <w:rPr>
          <w:rFonts w:ascii="Arial" w:hAnsi="Arial" w:eastAsia="Arial"/>
          <w:b w:val="0"/>
          <w:i w:val="0"/>
          <w:color w:val="0E4F6C"/>
          <w:sz w:val="36"/>
        </w:rP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100" w:type="dxa"/>
              <w:start w:w="100" w:type="dxa"/>
              <w:bottom w:w="100" w:type="dxa"/>
              <w:end w:w="100" w:type="dxa"/>
            </w:tcMar>
          </w:tcPr>
          <w:p>
            <w:pPr>
              <w:spacing w:before="0" w:after="20" w:line="240" w:lineRule="auto"/>
              <w:ind w:left="0" w:right="0"/>
            </w:pPr>
            <w:r>
              <w:rPr>
                <w:rFonts w:ascii="Arial" w:hAnsi="Arial" w:eastAsia="Arial"/>
                <w:b/>
                <w:i w:val="0"/>
                <w:color w:val="FFFFFF"/>
                <w:sz w:val="26"/>
              </w:rPr>
              <w:t>PART 4: Testing and Reviewing</w:t>
            </w:r>
          </w:p>
          <w:p>
            <w:pPr>
              <w:spacing w:before="0" w:after="0" w:line="240" w:lineRule="auto"/>
              <w:ind w:left="0" w:right="0"/>
            </w:pPr>
            <w:r>
              <w:rPr>
                <w:rFonts w:ascii="Arial" w:hAnsi="Arial" w:eastAsia="Arial"/>
                <w:b w:val="0"/>
                <w:i w:val="0"/>
                <w:color w:val="FFFFFF"/>
                <w:sz w:val="16"/>
              </w:rPr>
              <w:t>45 min standard route | 60 min extended route | GenAI role(s): Optional evidence challenger and bias critic after independent student evidence</w:t>
            </w:r>
          </w:p>
        </w:tc>
      </w:tr>
    </w:tbl>
    <w:p>
      <w:pPr>
        <w:pStyle w:val="3"/>
      </w:pPr>
      <w:r>
        <w:t>Overview</w:t>
      </w:r>
    </w:p>
    <w:p>
      <w:pPr>
        <w:spacing w:before="0" w:after="60" w:line="240" w:lineRule="auto"/>
        <w:ind w:left="0" w:right="0"/>
      </w:pPr>
      <w:r>
        <w:rPr>
          <w:rFonts w:ascii="Arial" w:hAnsi="Arial" w:eastAsia="Arial"/>
          <w:b w:val="0"/>
          <w:i w:val="0"/>
          <w:color w:val="000000"/>
          <w:sz w:val="18"/>
        </w:rPr>
        <w:t>In Part 4, students stop building and become independent behavioural testers. Each testing group uses another group’s saved prototype and the Part 3 Test Brief without receiving a verbal explanation from the creators. Testers first record what the prototype actually does and only then interpret the evidence.</w:t>
      </w:r>
    </w:p>
    <w:p>
      <w:pPr>
        <w:spacing w:before="0" w:after="60" w:line="240" w:lineRule="auto"/>
        <w:ind w:left="0" w:right="0"/>
      </w:pPr>
      <w:r>
        <w:rPr>
          <w:rFonts w:ascii="Arial" w:hAnsi="Arial" w:eastAsia="Arial"/>
          <w:b w:val="0"/>
          <w:i w:val="0"/>
          <w:color w:val="000000"/>
          <w:sz w:val="18"/>
        </w:rPr>
        <w:t>Part 4 should be understood as an Independent Behavioural Test Lab. The learning focus is not technical construction and not immediate repair. It is the disciplined movement from test input to observable behaviour, from evidence to review, and from review to one specific decision that Part 5 can act on.</w:t>
      </w:r>
    </w:p>
    <w:p>
      <w:pPr>
        <w:spacing w:before="0" w:after="60" w:line="240" w:lineRule="auto"/>
        <w:ind w:left="0" w:right="0"/>
      </w:pPr>
      <w:r>
        <w:rPr>
          <w:rFonts w:ascii="Arial" w:hAnsi="Arial" w:eastAsia="Arial"/>
          <w:b w:val="0"/>
          <w:i w:val="0"/>
          <w:color w:val="000000"/>
          <w:sz w:val="18"/>
        </w:rPr>
        <w:t>The canonical evidence cycle is: receive the prototype and Test Brief → run four safe test missions → record observable behaviour → review clarity, usefulness, fallback, limitation/safety, possible bias and the Part 1 principle → return the record → creators make one evidence-based Part 5 Review Decision.</w:t>
      </w:r>
    </w:p>
    <w:p>
      <w:pPr>
        <w:spacing w:before="0" w:after="60" w:line="240" w:lineRule="auto"/>
        <w:ind w:left="0" w:right="0"/>
      </w:pPr>
      <w:r>
        <w:rPr>
          <w:rFonts w:ascii="Arial" w:hAnsi="Arial" w:eastAsia="Arial"/>
          <w:b w:val="0"/>
          <w:i w:val="0"/>
          <w:color w:val="000000"/>
          <w:sz w:val="18"/>
        </w:rPr>
        <w:t>Part 4 ends with a decision, not a change. Students do not rewrite responses, edit Scratch blocks, alter cards, change the Prompt Capsule, perform a matched verification test or complete the final communication and reflection. Refinement, verification, communication and final reflection belong to Part 5.</w:t>
      </w:r>
    </w:p>
    <w:p>
      <w:pPr>
        <w:spacing w:before="0" w:after="60" w:line="240" w:lineRule="auto"/>
        <w:ind w:left="0" w:right="0"/>
      </w:pPr>
      <w:r>
        <w:rPr>
          <w:rFonts w:ascii="Arial" w:hAnsi="Arial" w:eastAsia="Arial"/>
          <w:b w:val="0"/>
          <w:i w:val="0"/>
          <w:color w:val="000000"/>
          <w:sz w:val="18"/>
        </w:rPr>
        <w:t>The standard route is one realistic 45-minute lesson. It assumes that the prototype and Part 3 Test Brief are accessible before the lesson begins and that groups are paired in advance. A 60-minute route provides additional review time, an optional human-first GenAI challenge and a short debrief. No 25-minute route is recommended because it would not protect all four tests and the creator decision.</w:t>
      </w:r>
    </w:p>
    <w:p>
      <w:pPr>
        <w:spacing w:before="0" w:after="60" w:line="240" w:lineRule="auto"/>
        <w:ind w:left="0" w:right="0"/>
      </w:pPr>
      <w:r>
        <w:rPr>
          <w:rFonts w:ascii="Arial" w:hAnsi="Arial" w:eastAsia="Arial"/>
          <w:b w:val="0"/>
          <w:i w:val="0"/>
          <w:color w:val="000000"/>
          <w:sz w:val="18"/>
        </w:rPr>
        <w:t>Scratch remains the default route. A school-approved GenAI setup and a complete paper prototype are also supported when the Part 3 conditions have been met. All routes use the same evidence record and learning outcome, although the way testers operate the prototype differs.</w:t>
      </w:r>
    </w:p>
    <w:p>
      <w:pPr>
        <w:pStyle w:val="3"/>
      </w:pPr>
      <w:r>
        <w:t>Expected Student Output</w:t>
      </w:r>
    </w:p>
    <w:p>
      <w:pPr>
        <w:spacing w:before="0" w:after="60" w:line="240" w:lineRule="auto"/>
        <w:ind w:left="0" w:right="0"/>
      </w:pPr>
      <w:r>
        <w:rPr>
          <w:rFonts w:ascii="Arial" w:hAnsi="Arial" w:eastAsia="Arial"/>
          <w:b w:val="0"/>
          <w:i w:val="0"/>
          <w:color w:val="000000"/>
          <w:sz w:val="18"/>
        </w:rPr>
        <w:t>By the end of this part, each creator group should have received or produced:</w:t>
      </w:r>
    </w:p>
    <w:p>
      <w:pPr>
        <w:pStyle w:val="a7"/>
        <w:spacing w:before="0" w:after="24" w:line="240" w:lineRule="auto"/>
        <w:ind w:left="0" w:right="0"/>
      </w:pPr>
      <w:r>
        <w:rPr>
          <w:rFonts w:ascii="Arial" w:hAnsi="Arial" w:eastAsia="Arial"/>
          <w:b/>
          <w:i w:val="0"/>
          <w:color w:val="000000"/>
          <w:sz w:val="17"/>
        </w:rPr>
        <w:t xml:space="preserve">1. </w:t>
      </w:r>
      <w:r>
        <w:rPr>
          <w:rFonts w:ascii="Arial" w:hAnsi="Arial" w:eastAsia="Arial"/>
          <w:b w:val="0"/>
          <w:i w:val="0"/>
          <w:color w:val="000000"/>
          <w:sz w:val="17"/>
        </w:rPr>
        <w:t>one independently completed test cycle conducted by students who did not build the prototype;</w:t>
      </w:r>
    </w:p>
    <w:p>
      <w:pPr>
        <w:pStyle w:val="a7"/>
        <w:spacing w:before="0" w:after="24" w:line="240" w:lineRule="auto"/>
        <w:ind w:left="0" w:right="0"/>
      </w:pPr>
      <w:r>
        <w:rPr>
          <w:rFonts w:ascii="Arial" w:hAnsi="Arial" w:eastAsia="Arial"/>
          <w:b/>
          <w:i w:val="0"/>
          <w:color w:val="000000"/>
          <w:sz w:val="17"/>
        </w:rPr>
        <w:t xml:space="preserve">2. </w:t>
      </w:r>
      <w:r>
        <w:rPr>
          <w:rFonts w:ascii="Arial" w:hAnsi="Arial" w:eastAsia="Arial"/>
          <w:b w:val="0"/>
          <w:i w:val="0"/>
          <w:color w:val="000000"/>
          <w:sz w:val="17"/>
        </w:rPr>
        <w:t>four evidence records: T1 principle-specific, T2 supported use, T3 unclear input/fallback, and T4 outside scope/limitation-safety;</w:t>
      </w:r>
    </w:p>
    <w:p>
      <w:pPr>
        <w:pStyle w:val="a7"/>
        <w:spacing w:before="0" w:after="24" w:line="240" w:lineRule="auto"/>
        <w:ind w:left="0" w:right="0"/>
      </w:pPr>
      <w:r>
        <w:rPr>
          <w:rFonts w:ascii="Arial" w:hAnsi="Arial" w:eastAsia="Arial"/>
          <w:b/>
          <w:i w:val="0"/>
          <w:color w:val="000000"/>
          <w:sz w:val="17"/>
        </w:rPr>
        <w:t xml:space="preserve">3. </w:t>
      </w:r>
      <w:r>
        <w:rPr>
          <w:rFonts w:ascii="Arial" w:hAnsi="Arial" w:eastAsia="Arial"/>
          <w:b w:val="0"/>
          <w:i w:val="0"/>
          <w:color w:val="000000"/>
          <w:sz w:val="17"/>
        </w:rPr>
        <w:t>the exact input and observable prototype behaviour for every completed test, or a precise Blocked status;</w:t>
      </w:r>
    </w:p>
    <w:p>
      <w:pPr>
        <w:pStyle w:val="a7"/>
        <w:spacing w:before="0" w:after="24" w:line="240" w:lineRule="auto"/>
        <w:ind w:left="0" w:right="0"/>
      </w:pPr>
      <w:r>
        <w:rPr>
          <w:rFonts w:ascii="Arial" w:hAnsi="Arial" w:eastAsia="Arial"/>
          <w:b/>
          <w:i w:val="0"/>
          <w:color w:val="000000"/>
          <w:sz w:val="17"/>
        </w:rPr>
        <w:t xml:space="preserve">4. </w:t>
      </w:r>
      <w:r>
        <w:rPr>
          <w:rFonts w:ascii="Arial" w:hAnsi="Arial" w:eastAsia="Arial"/>
          <w:b w:val="0"/>
          <w:i w:val="0"/>
          <w:color w:val="000000"/>
          <w:sz w:val="17"/>
        </w:rPr>
        <w:t>one evidence-linked review of expected behaviour, clarity, usefulness, fallback/recovery, limitation/safety, possible unfairness or bias, and the Part 1 principle;</w:t>
      </w:r>
    </w:p>
    <w:p>
      <w:pPr>
        <w:pStyle w:val="a7"/>
        <w:spacing w:before="0" w:after="24" w:line="240" w:lineRule="auto"/>
        <w:ind w:left="0" w:right="0"/>
      </w:pPr>
      <w:r>
        <w:rPr>
          <w:rFonts w:ascii="Arial" w:hAnsi="Arial" w:eastAsia="Arial"/>
          <w:b/>
          <w:i w:val="0"/>
          <w:color w:val="000000"/>
          <w:sz w:val="17"/>
        </w:rPr>
        <w:t xml:space="preserve">5. </w:t>
      </w:r>
      <w:r>
        <w:rPr>
          <w:rFonts w:ascii="Arial" w:hAnsi="Arial" w:eastAsia="Arial"/>
          <w:b w:val="0"/>
          <w:i w:val="0"/>
          <w:color w:val="000000"/>
          <w:sz w:val="17"/>
        </w:rPr>
        <w:t>one Verified Strength and one Priority Review Finding;</w:t>
      </w:r>
    </w:p>
    <w:p>
      <w:pPr>
        <w:pStyle w:val="a7"/>
        <w:spacing w:before="0" w:after="24" w:line="240" w:lineRule="auto"/>
        <w:ind w:left="0" w:right="0"/>
      </w:pPr>
      <w:r>
        <w:rPr>
          <w:rFonts w:ascii="Arial" w:hAnsi="Arial" w:eastAsia="Arial"/>
          <w:b/>
          <w:i w:val="0"/>
          <w:color w:val="000000"/>
          <w:sz w:val="17"/>
        </w:rPr>
        <w:t xml:space="preserve">6. </w:t>
      </w:r>
      <w:r>
        <w:rPr>
          <w:rFonts w:ascii="Arial" w:hAnsi="Arial" w:eastAsia="Arial"/>
          <w:b w:val="0"/>
          <w:i w:val="0"/>
          <w:color w:val="000000"/>
          <w:sz w:val="17"/>
        </w:rPr>
        <w:t>one creator comparison with the expected observable behaviour recorded in the Part 3 Test Brief;</w:t>
      </w:r>
    </w:p>
    <w:p>
      <w:pPr>
        <w:pStyle w:val="a7"/>
        <w:spacing w:before="0" w:after="24" w:line="240" w:lineRule="auto"/>
        <w:ind w:left="0" w:right="0"/>
      </w:pPr>
      <w:r>
        <w:rPr>
          <w:rFonts w:ascii="Arial" w:hAnsi="Arial" w:eastAsia="Arial"/>
          <w:b/>
          <w:i w:val="0"/>
          <w:color w:val="000000"/>
          <w:sz w:val="17"/>
        </w:rPr>
        <w:t xml:space="preserve">7. </w:t>
      </w:r>
      <w:r>
        <w:rPr>
          <w:rFonts w:ascii="Arial" w:hAnsi="Arial" w:eastAsia="Arial"/>
          <w:b w:val="0"/>
          <w:i w:val="0"/>
          <w:color w:val="000000"/>
          <w:sz w:val="17"/>
        </w:rPr>
        <w:t>one Part 5 Review Decision: Improve in Part 5 or Keep as designed;</w:t>
      </w:r>
    </w:p>
    <w:p>
      <w:pPr>
        <w:pStyle w:val="a7"/>
        <w:spacing w:before="0" w:after="24" w:line="240" w:lineRule="auto"/>
        <w:ind w:left="0" w:right="0"/>
      </w:pPr>
      <w:r>
        <w:rPr>
          <w:rFonts w:ascii="Arial" w:hAnsi="Arial" w:eastAsia="Arial"/>
          <w:b/>
          <w:i w:val="0"/>
          <w:color w:val="000000"/>
          <w:sz w:val="17"/>
        </w:rPr>
        <w:t xml:space="preserve">8. </w:t>
      </w:r>
      <w:r>
        <w:rPr>
          <w:rFonts w:ascii="Arial" w:hAnsi="Arial" w:eastAsia="Arial"/>
          <w:b w:val="0"/>
          <w:i w:val="0"/>
          <w:color w:val="000000"/>
          <w:sz w:val="17"/>
        </w:rPr>
        <w:t>one evidence reference that justifies the decision;</w:t>
      </w:r>
    </w:p>
    <w:p>
      <w:pPr>
        <w:pStyle w:val="a7"/>
        <w:spacing w:before="0" w:after="24" w:line="240" w:lineRule="auto"/>
        <w:ind w:left="0" w:right="0"/>
      </w:pPr>
      <w:r>
        <w:rPr>
          <w:rFonts w:ascii="Arial" w:hAnsi="Arial" w:eastAsia="Arial"/>
          <w:b/>
          <w:i w:val="0"/>
          <w:color w:val="000000"/>
          <w:sz w:val="17"/>
        </w:rPr>
        <w:t xml:space="preserve">9. </w:t>
      </w:r>
      <w:r>
        <w:rPr>
          <w:rFonts w:ascii="Arial" w:hAnsi="Arial" w:eastAsia="Arial"/>
          <w:b w:val="0"/>
          <w:i w:val="0"/>
          <w:color w:val="000000"/>
          <w:sz w:val="17"/>
        </w:rPr>
        <w:t>one exact input reserved for verification in Part 5; and</w:t>
      </w:r>
    </w:p>
    <w:p>
      <w:pPr>
        <w:pStyle w:val="a7"/>
        <w:spacing w:before="0" w:after="24" w:line="240" w:lineRule="auto"/>
        <w:ind w:left="0" w:right="0"/>
      </w:pPr>
      <w:r>
        <w:rPr>
          <w:rFonts w:ascii="Arial" w:hAnsi="Arial" w:eastAsia="Arial"/>
          <w:b/>
          <w:i w:val="0"/>
          <w:color w:val="000000"/>
          <w:sz w:val="17"/>
        </w:rPr>
        <w:t xml:space="preserve">10. </w:t>
      </w:r>
      <w:r>
        <w:rPr>
          <w:rFonts w:ascii="Arial" w:hAnsi="Arial" w:eastAsia="Arial"/>
          <w:b w:val="0"/>
          <w:i w:val="0"/>
          <w:color w:val="000000"/>
          <w:sz w:val="17"/>
        </w:rPr>
        <w:t>one completed privacy, safety and handover check.</w:t>
      </w:r>
    </w:p>
    <w:p>
      <w:pPr>
        <w:pStyle w:val="4"/>
        <w:spacing w:before="80" w:after="60" w:line="240" w:lineRule="auto"/>
        <w:ind w:left="0" w:right="0"/>
        <w:keepNext/>
      </w:pPr>
      <w:r>
        <w:rPr>
          <w:rFonts w:ascii="Arial" w:hAnsi="Arial" w:eastAsia="Arial"/>
          <w:b/>
          <w:i w:val="0"/>
          <w:color w:val="0E4F6C"/>
          <w:sz w:val="20"/>
        </w:rPr>
        <w:t>Minimum expectation</w:t>
      </w:r>
    </w:p>
    <w:p>
      <w:pPr>
        <w:spacing w:before="0" w:after="60" w:line="240" w:lineRule="auto"/>
        <w:ind w:left="0" w:right="0"/>
      </w:pPr>
      <w:r>
        <w:rPr>
          <w:rFonts w:ascii="Arial" w:hAnsi="Arial" w:eastAsia="Arial"/>
          <w:b w:val="0"/>
          <w:i w:val="0"/>
          <w:color w:val="000000"/>
          <w:sz w:val="17"/>
        </w:rPr>
        <w:t>The protected minimum is not a large checklist and not a repaired chatbot. It is a complete evidence chain: four independent tests → recorded behaviour → one strength and one priority finding → one justified Part 5 decision → one reserved verification input.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T1, T2, T3 and T4 are all completed or one precise technical block is recorded;</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testers write what happened before selecting a judgement;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every review claim points to T1, T2, T3 or T4;</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creators choose Improve or Keep without editing the prototype;</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Part 5 handover is complete.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Part 4 stop rule</w:t>
            </w:r>
          </w:p>
          <w:p>
            <w:pPr>
              <w:spacing w:before="0" w:after="0" w:line="240" w:lineRule="auto"/>
              <w:ind w:left="0" w:right="0"/>
            </w:pPr>
            <w:r>
              <w:rPr>
                <w:rFonts w:ascii="Arial" w:hAnsi="Arial" w:eastAsia="Arial"/>
                <w:b w:val="0"/>
                <w:i w:val="0"/>
                <w:color w:val="000000"/>
                <w:sz w:val="17"/>
              </w:rPr>
              <w:t>STOP AFTER THE REVIEW DECISION. Do not repair, rewrite, rebuild or verify a changed prototype in Part 4. Part 5 will act on the recorded evidence.</w:t>
            </w:r>
          </w:p>
        </w:tc>
      </w:tr>
    </w:tbl>
    <w:p>
      <w:pPr>
        <w:pStyle w:val="3"/>
      </w:pPr>
      <w:r>
        <w:t>Key Teaching Moves / Implementation steps</w:t>
      </w:r>
    </w:p>
    <w:p>
      <w:pPr>
        <w:pStyle w:val="4"/>
        <w:spacing w:before="80" w:after="60" w:line="240" w:lineRule="auto"/>
        <w:ind w:left="0" w:right="0"/>
        <w:keepNext/>
      </w:pPr>
      <w:r>
        <w:rPr>
          <w:rFonts w:ascii="Arial" w:hAnsi="Arial" w:eastAsia="Arial"/>
          <w:b/>
          <w:i w:val="0"/>
          <w:color w:val="0E4F6C"/>
          <w:sz w:val="20"/>
        </w:rPr>
        <w:t>Implementation notes</w:t>
      </w:r>
    </w:p>
    <w:p>
      <w:pPr>
        <w:spacing w:before="0" w:after="60" w:line="240" w:lineRule="auto"/>
        <w:ind w:left="0" w:right="0"/>
      </w:pPr>
      <w:r>
        <w:rPr>
          <w:rFonts w:ascii="Arial" w:hAnsi="Arial" w:eastAsia="Arial"/>
          <w:b w:val="0"/>
          <w:i w:val="0"/>
          <w:color w:val="000000"/>
          <w:sz w:val="17"/>
        </w:rPr>
        <w:t>Part 4 uses one common evidence protocol for all routes. The creators prepare access and then step back. Testers use the prototype and the Part 3 Test Brief independently. The teacher protects the distinction between observable evidence and judgement throughout the lesson.</w:t>
      </w:r>
    </w:p>
    <w:p>
      <w:pPr>
        <w:spacing w:before="0" w:after="60" w:line="240" w:lineRule="auto"/>
        <w:ind w:left="0" w:right="0"/>
      </w:pPr>
      <w:r>
        <w:rPr>
          <w:rFonts w:ascii="Arial" w:hAnsi="Arial" w:eastAsia="Arial"/>
          <w:b w:val="0"/>
          <w:i w:val="0"/>
          <w:color w:val="000000"/>
          <w:sz w:val="17"/>
        </w:rPr>
        <w:t>The Part 3 Test Brief is the authoritative handover. Do not create a second handover card or recopy the full blueprint. The Part 4 student test and review record identifies the prototype and records new test evidence; it does not become a competing version of the Part 3 design.</w:t>
      </w:r>
    </w:p>
    <w:p>
      <w:pPr>
        <w:spacing w:before="0" w:after="60" w:line="240" w:lineRule="auto"/>
        <w:ind w:left="0" w:right="0"/>
      </w:pPr>
      <w:r>
        <w:rPr>
          <w:rFonts w:ascii="Arial" w:hAnsi="Arial" w:eastAsia="Arial"/>
          <w:b w:val="0"/>
          <w:i w:val="0"/>
          <w:color w:val="000000"/>
          <w:sz w:val="17"/>
        </w:rPr>
        <w:t>A safe test is allowed to reveal a weakness, but students are not asked to attack, trick or bypass the chatbot. Inputs remain fictional, non-personal, non-sensitive, school-appropriate and connected to the stated interface or scope.</w:t>
      </w:r>
    </w:p>
    <w:p>
      <w:pPr>
        <w:spacing w:before="0" w:after="60" w:line="240" w:lineRule="auto"/>
        <w:ind w:left="0" w:right="0"/>
      </w:pPr>
      <w:r>
        <w:rPr>
          <w:rFonts w:ascii="Arial" w:hAnsi="Arial" w:eastAsia="Arial"/>
          <w:b w:val="0"/>
          <w:i w:val="0"/>
          <w:color w:val="000000"/>
          <w:sz w:val="17"/>
        </w:rPr>
        <w:t>Testers may describe what the prototype did and why that matters. They do not prescribe a rewrite. Creators retain responsibility for the Part 5 Review Decision and later refinement.</w:t>
      </w:r>
    </w:p>
    <w:p>
      <w:pPr>
        <w:spacing w:before="0" w:after="60" w:line="240" w:lineRule="auto"/>
        <w:ind w:left="0" w:right="0"/>
      </w:pPr>
      <w:r>
        <w:rPr>
          <w:rFonts w:ascii="Arial" w:hAnsi="Arial" w:eastAsia="Arial"/>
          <w:b w:val="0"/>
          <w:i w:val="0"/>
          <w:color w:val="000000"/>
          <w:sz w:val="17"/>
        </w:rPr>
        <w:t>Technical access problems are handled as access recovery, not student rebuilding. The teacher may reopen the file or restart the approved environment. After the Part 3 handover, use a paper backup only if it was completed and verified against the same prototype state before Part 4 and its identity is recorded with the Part 3 Test Brief. Otherwise record the affected test as Blocked and select RETEST NEEDED before refinement. A content or logic repair is not made during Part 4.</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Student-facing evidence rule</w:t>
            </w:r>
          </w:p>
          <w:p>
            <w:pPr>
              <w:spacing w:before="0" w:after="0" w:line="240" w:lineRule="auto"/>
              <w:ind w:left="0" w:right="0"/>
            </w:pPr>
            <w:r>
              <w:rPr>
                <w:rFonts w:ascii="Arial" w:hAnsi="Arial" w:eastAsia="Arial"/>
                <w:b w:val="0"/>
                <w:i w:val="0"/>
                <w:color w:val="000000"/>
                <w:sz w:val="17"/>
              </w:rPr>
              <w:t>RECORD WHAT HAPPENED BEFORE YOU JUDGE IT. Use the exact input. Describe the visible response or route. Then connect your review to T1, T2, T3 or T4.</w:t>
            </w:r>
          </w:p>
        </w:tc>
      </w:tr>
    </w:tbl>
    <w:p>
      <w:pPr>
        <w:pStyle w:val="4"/>
      </w:pPr>
      <w:r>
        <w:t>Before the lesson</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Readiness check</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Required condition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If not ready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Prototype access</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Every prototype opens, starts or can be operated without creator explanation.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Recover access before pairing. If recovery takes more than two minutes, use only a verified same-state paper backup; otherwise record Blocked and RETEST NEEDED.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Part 3 handover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Page 4 Test Brief is present and readable.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Retrieve it. Do not ask students to reconstruct the design from memory.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Pairing</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Each group is paired with one different creator group.</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 in advance. Avoid a three-group chain unless device numbers require it.</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Record ownership</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 student test and review record is labelled for each creator prototype.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Prepare records before the lesson; testers write on the creator prototype’s record.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Route card</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Only the selected Scratch independent testing card, GenAI independent testing card or paper independent testing card is distributed.</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give students irrelevant route instructions.</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Privacy</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Files, prompts and labels contain no personal or sensitive information.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Remove or replace the information before testing.</w:t>
            </w:r>
          </w:p>
        </w:tc>
      </w:tr>
    </w:tbl>
    <w:p>
      <w:pPr>
        <w:pStyle w:val="4"/>
      </w:pPr>
      <w:r>
        <w:t>Implementation flow</w:t>
      </w:r>
    </w:p>
    <w:p>
      <w:pPr>
        <w:pStyle w:val="5"/>
        <w:spacing w:before="80" w:after="60" w:line="240" w:lineRule="auto"/>
        <w:ind w:left="0" w:right="0"/>
        <w:keepNext/>
      </w:pPr>
      <w:r>
        <w:rPr>
          <w:rFonts w:ascii="Arial" w:hAnsi="Arial" w:eastAsia="Arial"/>
          <w:b/>
          <w:i w:val="0"/>
          <w:color w:val="0E4F6C"/>
          <w:sz w:val="20"/>
        </w:rPr>
        <w:t>Step 1. Reconnect with the Part 3 Test Brief</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each record is labelled for the creator prototype. Ask creators to demonstrate only the start/access action, then move away from their own prototype.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read the target user, purpose, exact principle-test idea, expected observable behaviour and any known technical limitation.</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Every paired group can start the prototype without a creator explanation.</w:t>
            </w:r>
          </w:p>
        </w:tc>
      </w:tr>
    </w:tbl>
    <w:p>
      <w:pPr>
        <w:pStyle w:val="5"/>
        <w:spacing w:before="80" w:after="60" w:line="240" w:lineRule="auto"/>
        <w:ind w:left="0" w:right="0"/>
        <w:keepNext/>
      </w:pPr>
      <w:r>
        <w:rPr>
          <w:rFonts w:ascii="Arial" w:hAnsi="Arial" w:eastAsia="Arial"/>
          <w:b/>
          <w:i w:val="0"/>
          <w:color w:val="0E4F6C"/>
          <w:sz w:val="20"/>
        </w:rPr>
        <w:t>Step 2. Model evidence before judgement</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Model one neutral example: “Input: 9. Observed behaviour: the chatbot displayed the fallback message and asked the user to choose 1, 2 or 3.” Contrast this with an unsupported judgement such as “It was bad.”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assign Input Reader, Evidence Recorder and Route Observer. They repeat the rule: input first, behaviour second, judgement later.</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can produce one evidence sentence containing an exact input and a visible response or route.</w:t>
            </w:r>
          </w:p>
        </w:tc>
      </w:tr>
    </w:tbl>
    <w:p>
      <w:pPr>
        <w:pStyle w:val="5"/>
        <w:spacing w:before="80" w:after="60" w:line="240" w:lineRule="auto"/>
        <w:ind w:left="0" w:right="0"/>
        <w:keepNext/>
      </w:pPr>
      <w:r>
        <w:rPr>
          <w:rFonts w:ascii="Arial" w:hAnsi="Arial" w:eastAsia="Arial"/>
          <w:b/>
          <w:i w:val="0"/>
          <w:color w:val="0E4F6C"/>
          <w:sz w:val="20"/>
        </w:rPr>
        <w:t>Step 3. Run the four independent test missions</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18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creators silent. Prompt testers to reset or return to the start between tests. Require safe fictional inputs and a precise Blocked status when a test cannot be completed.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run T1 principle-specific, T2 supported use, T3 unclear/fallback and T4 outside scope/limitation-safety. They record input and observable behaviour before selecting a review judgement.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T1–T4 each contain evidence or one precise technical reason that prevented the test.</w:t>
            </w:r>
          </w:p>
        </w:tc>
      </w:tr>
    </w:tbl>
    <w:p>
      <w:pPr>
        <w:pStyle w:val="5"/>
        <w:spacing w:before="80" w:after="60" w:line="240" w:lineRule="auto"/>
        <w:ind w:left="0" w:right="0"/>
        <w:keepNext/>
      </w:pPr>
      <w:r>
        <w:rPr>
          <w:rFonts w:ascii="Arial" w:hAnsi="Arial" w:eastAsia="Arial"/>
          <w:b/>
          <w:i w:val="0"/>
          <w:color w:val="0E4F6C"/>
          <w:sz w:val="20"/>
        </w:rPr>
        <w:t>Mandatory testing protocol</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Input source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testers record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the test can show</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T1 — Part 1 principle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the exact principle-test idea transferred through the Part 3 Test Brief.</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visible response/route; whether expected behaviour was observed.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designed Part 1 principle is observable in this prototype behaviour.</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T2 — Supported use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Choose one realistic input that matches a declared category or supported route.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response; category/route reached.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normal use is understandable and useful for the declared purpose.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T3 — Unclear input / fallback</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safe ambiguous wording or an invalid menu choice.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fallback response; recovery guidance.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chatbot recognises uncertainty and helps the user continue.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T4 — Outside scope / limitation-safety</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one safe fictional request outside the declared scope.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limitation/safety response; redirection if present.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the chatbot states limits rather than pretending to answer.</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Safe testing rule</w:t>
            </w:r>
          </w:p>
          <w:p>
            <w:pPr>
              <w:spacing w:before="0" w:after="0" w:line="240" w:lineRule="auto"/>
              <w:ind w:left="0" w:right="0"/>
            </w:pPr>
            <w:r>
              <w:rPr>
                <w:rFonts w:ascii="Arial" w:hAnsi="Arial" w:eastAsia="Arial"/>
                <w:b w:val="0"/>
                <w:i w:val="0"/>
                <w:color w:val="000000"/>
                <w:sz w:val="17"/>
              </w:rPr>
              <w:t>Use fictional, non-personal, non-sensitive, school-appropriate inputs connected to the interface or declared scope. Do not use hostile content, private experiences, health or legal advice, identity-based scenarios, jailbreaks or attempts to bypass safeguards.</w:t>
            </w:r>
          </w:p>
        </w:tc>
      </w:tr>
    </w:tbl>
    <w:p>
      <w:pPr>
        <w:pStyle w:val="5"/>
        <w:spacing w:before="80" w:after="60" w:line="240" w:lineRule="auto"/>
        <w:ind w:left="0" w:right="0"/>
        <w:keepNext/>
      </w:pPr>
      <w:r>
        <w:rPr>
          <w:rFonts w:ascii="Arial" w:hAnsi="Arial" w:eastAsia="Arial"/>
          <w:b/>
          <w:i w:val="0"/>
          <w:color w:val="0E4F6C"/>
          <w:sz w:val="20"/>
        </w:rPr>
        <w:t>Evidence quality check</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Weak record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Acceptable evidence record</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answer was confusing.”</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‘Can you help with batteries?’ The chatbot displayed the general fallback and did not list the three available recycling categories.”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safety part worked.”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“Input: ‘Tell me what medicine to take.’ The chatbot stated that it could not give medical advice and told the user to ask a trusted adult or health professional.”</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“It was biased.”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[exact safe fictional input]. The response used [specific wording/example]. We marked a possible unfairness concern because [bounded reason].”</w:t>
            </w:r>
          </w:p>
        </w:tc>
      </w:tr>
    </w:tbl>
    <w:p>
      <w:pPr>
        <w:pStyle w:val="5"/>
        <w:spacing w:before="80" w:after="60" w:line="240" w:lineRule="auto"/>
        <w:ind w:left="0" w:right="0"/>
        <w:keepNext/>
      </w:pPr>
      <w:r>
        <w:rPr>
          <w:rFonts w:ascii="Arial" w:hAnsi="Arial" w:eastAsia="Arial"/>
          <w:b/>
          <w:i w:val="0"/>
          <w:color w:val="0E4F6C"/>
          <w:sz w:val="20"/>
        </w:rPr>
        <w:t>Step 4. Review evidence and return the record</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7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Ask testers to review only what their four tests can support. Require every judgement to name at least one test ID. Remind them that “No concern observed” is not the same as proving the chatbot has no bias.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complete the review matrix, identify one Verified Strength and one Priority Review Finding, and return student test and review record to the creators.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Each strength and finding points to T1, T2, T3 or T4 and uses bounded language.</w:t>
            </w:r>
          </w:p>
        </w:tc>
      </w:tr>
    </w:tbl>
    <w:p>
      <w:pPr>
        <w:pStyle w:val="5"/>
        <w:spacing w:before="80" w:after="60" w:line="240" w:lineRule="auto"/>
        <w:ind w:left="0" w:right="0"/>
        <w:keepNext/>
      </w:pPr>
      <w:r>
        <w:rPr>
          <w:rFonts w:ascii="Arial" w:hAnsi="Arial" w:eastAsia="Arial"/>
          <w:b/>
          <w:i w:val="0"/>
          <w:color w:val="0E4F6C"/>
          <w:sz w:val="20"/>
        </w:rPr>
        <w:t>Review dimensions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Dimension</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Review question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Allowed conclusion</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Expected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observed behaviour match the Test Brief expectation?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 / Not tested</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Clarity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Could a new user understand what happened and what to do next?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Clear / Partly clear / Unclear</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Usefulness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supported-use behaviour help with the declared purpose?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 / Partly useful / Not useful for this test</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Fallback / recovery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unclear input lead to useful recovery guidance?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Limitation / safety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chatbot state its limit and redirect appropriately?</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Possible unfairness or bias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these tests reveal a specific concern?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No concern observed / Possible concern / Not enough evidence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Part 1 principle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Was the principle observable in T1?</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w:t>
            </w:r>
          </w:p>
        </w:tc>
      </w:tr>
    </w:tbl>
    <w:p>
      <w:pPr>
        <w:pStyle w:val="5"/>
        <w:spacing w:before="80" w:after="60" w:line="240" w:lineRule="auto"/>
        <w:ind w:left="0" w:right="0"/>
        <w:keepNext/>
      </w:pPr>
      <w:r>
        <w:rPr>
          <w:rFonts w:ascii="Arial" w:hAnsi="Arial" w:eastAsia="Arial"/>
          <w:b/>
          <w:i w:val="0"/>
          <w:color w:val="0E4F6C"/>
          <w:sz w:val="20"/>
        </w:rPr>
        <w:t>Step 5. Creators make the Part 5 Review Decision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prototypes closed for editing. Ask creators to compare the independent evidence with the expected observable behaviour and to choose one bounded decision. Challenge cosmetic or evidence-free changes.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Creators select Improve in Part 5 or Keep as designed, name one feature, cite the evidence and reserve one exact verification input.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The decision is specific, evidence-linked and actionable in Part 5 without containing the new solution.</w:t>
            </w:r>
          </w:p>
        </w:tc>
      </w:tr>
    </w:tbl>
    <w:p>
      <w:pPr>
        <w:pStyle w:val="5"/>
        <w:spacing w:before="80" w:after="60" w:line="240" w:lineRule="auto"/>
        <w:ind w:left="0" w:right="0"/>
        <w:keepNext/>
      </w:pPr>
      <w:r>
        <w:rPr>
          <w:rFonts w:ascii="Arial" w:hAnsi="Arial" w:eastAsia="Arial"/>
          <w:b/>
          <w:i w:val="0"/>
          <w:color w:val="0E4F6C"/>
          <w:sz w:val="20"/>
        </w:rPr>
        <w:t>Decision rule</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Decision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Use when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students record now</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waits for Part 5</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IMPROVE IN PART 5</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Evidence shows that one feature does not behave as intended, is unclear, unhelpful, weak in fallback/safety, or raises a bounded concern.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Feature to improve; evidence ID; why it matters; exact verification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revised response, rule, branch, card, arrow or setup instruction; matched re-test.</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KEEP AS DESIGNED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Evidence supports the feature and no recorded finding justifies a change.</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Feature kept; evidence ID; why the evidence supports it; confirmation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Confirmation test, communication of the choice and final reflection.</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RETEST NEEDED — blocked exception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Access failure or insufficient independent evidence prevents a defensible decision.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Blocked test and precise reason.</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Complete missing evidence before refinement.</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Do not design the solution yet</w:t>
            </w:r>
          </w:p>
          <w:p>
            <w:pPr>
              <w:spacing w:before="0" w:after="0" w:line="240" w:lineRule="auto"/>
              <w:ind w:left="0" w:right="0"/>
            </w:pPr>
            <w:r>
              <w:rPr>
                <w:rFonts w:ascii="Arial" w:hAnsi="Arial" w:eastAsia="Arial"/>
                <w:b w:val="0"/>
                <w:i w:val="0"/>
                <w:color w:val="000000"/>
                <w:sz w:val="17"/>
              </w:rPr>
              <w:t>A good Part 4 decision names the feature and the evidence, not the replacement wording or code. Example: “Improve the fallback in Part 5 because T3 gave no recovery guidance. Verify with input 9.”</w:t>
            </w:r>
          </w:p>
        </w:tc>
      </w:tr>
    </w:tbl>
    <w:p>
      <w:pPr>
        <w:pStyle w:val="5"/>
        <w:spacing w:before="80" w:after="60" w:line="240" w:lineRule="auto"/>
        <w:ind w:left="0" w:right="0"/>
        <w:keepNext/>
      </w:pPr>
      <w:r>
        <w:rPr>
          <w:rFonts w:ascii="Arial" w:hAnsi="Arial" w:eastAsia="Arial"/>
          <w:b/>
          <w:i w:val="0"/>
          <w:color w:val="0E4F6C"/>
          <w:sz w:val="20"/>
        </w:rPr>
        <w:t>Step 6. Privacy, handover and submission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2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no personal or sensitive information was introduced during testing. Collect the complete record with the prototype and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mark the privacy check, access status and Part 5 handover complete.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Part 5 receives one coherent evidence package; no separate handover card is created.</w:t>
            </w:r>
          </w:p>
        </w:tc>
      </w:tr>
    </w:tbl>
    <w:p>
      <w:pPr>
        <w:pStyle w:val="4"/>
      </w:pPr>
      <w:r>
        <w:t>Optional GenAI Evidence Challenge</w:t>
      </w:r>
    </w:p>
    <w:p>
      <w:pPr>
        <w:spacing w:before="0" w:after="60" w:line="240" w:lineRule="auto"/>
        <w:ind w:left="0" w:right="0"/>
      </w:pPr>
      <w:r>
        <w:rPr>
          <w:rFonts w:ascii="Arial" w:hAnsi="Arial" w:eastAsia="Arial"/>
          <w:b w:val="0"/>
          <w:i w:val="0"/>
          <w:color w:val="000000"/>
          <w:sz w:val="17"/>
        </w:rPr>
        <w:t>GenAI is optional in Part 4. It may be used only after T1–T4, the tester review and the creators’ initial decision have been completed independently. The teacher uses one school-approved tool, preferably through a teacher-controlled demonstration or account where local policy requires it.</w:t>
      </w:r>
    </w:p>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Human-first gate</w:t>
            </w:r>
          </w:p>
          <w:p>
            <w:pPr>
              <w:spacing w:before="0" w:after="0" w:line="240" w:lineRule="auto"/>
              <w:ind w:left="0" w:right="0"/>
            </w:pPr>
            <w:r>
              <w:rPr>
                <w:rFonts w:ascii="Arial" w:hAnsi="Arial" w:eastAsia="Arial"/>
                <w:b w:val="0"/>
                <w:i w:val="0"/>
                <w:color w:val="000000"/>
                <w:sz w:val="17"/>
              </w:rPr>
              <w:t>NO STUDENT EVIDENCE → NO GENAI REVIEW. GenAI does not create test findings, replace observation, decide Improve or Keep, or write the Part 5 solution.</w:t>
            </w:r>
          </w:p>
        </w:tc>
      </w:tr>
    </w:tbl>
    <w:p>
      <w:pPr>
        <w:pStyle w:val="5"/>
        <w:spacing w:before="80" w:after="60" w:line="240" w:lineRule="auto"/>
        <w:ind w:left="0" w:right="0"/>
        <w:keepNext/>
      </w:pPr>
      <w:r>
        <w:rPr>
          <w:rFonts w:ascii="Arial" w:hAnsi="Arial" w:eastAsia="Arial"/>
          <w:b/>
          <w:i w:val="0"/>
          <w:color w:val="0E4F6C"/>
          <w:sz w:val="20"/>
        </w:rPr>
        <w:t>Reusable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6"/>
              </w:rPr>
              <w:t>Optional prompt</w:t>
            </w:r>
          </w:p>
          <w:p>
            <w:pPr>
              <w:spacing w:before="0" w:after="0" w:line="240" w:lineRule="auto"/>
              <w:ind w:left="0" w:right="0"/>
            </w:pPr>
            <w:r>
              <w:rPr>
                <w:rFonts w:ascii="Arial" w:hAnsi="Arial" w:eastAsia="Arial"/>
                <w:b w:val="0"/>
                <w:i w:val="0"/>
                <w:color w:val="000000"/>
                <w:sz w:val="16"/>
              </w:rPr>
              <w:t>We tested a simple chatbot using four safe inputs. Our evidence is: [T1–T4 evidence only]. Our initial decision is [Improve in Part 5 / Keep as designed] because [evidence ID and reason]. Act as an evidence challenger and bias critic. Ask one question about a possible overlooked clarity, usefulness, fallback, limitation/safety or fairness issue. Do not write a new response, code, revision or final decision.</w:t>
            </w:r>
          </w:p>
        </w:tc>
      </w:tr>
    </w:tbl>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Student response to the GenAI challenge</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Meaning</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ACCEPT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identifies a relevant issue already supported by our recorded prototype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ADAPT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challenge is partly useful, but we narrow or correct it to match our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REJECT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is unsupported, outside scope, too broad or asks for refinement before Part 5.</w:t>
            </w:r>
          </w:p>
        </w:tc>
      </w:tr>
    </w:tbl>
    <w:p>
      <w:pPr>
        <w:spacing w:before="0" w:after="60" w:line="240" w:lineRule="auto"/>
        <w:ind w:left="0" w:right="0"/>
      </w:pPr>
      <w:r>
        <w:rPr>
          <w:rFonts w:ascii="Arial" w:hAnsi="Arial" w:eastAsia="Arial"/>
          <w:b w:val="0"/>
          <w:i w:val="0"/>
          <w:color w:val="000000"/>
          <w:sz w:val="17"/>
        </w:rPr>
        <w:t>GenAI output is not evidence. A challenge may improve the quality of the creators’ reasoning, but the actual prototype tests remain the evidence base.</w:t>
      </w:r>
    </w:p>
    <w:p>
      <w:pPr>
        <w:pStyle w:val="4"/>
      </w:pPr>
      <w:r>
        <w:t>Critical Thinking Opportunities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is an observed behaviour different from an opinion about the chatbot?</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can the same response be technically correct but unclear or unhelpful to a new user?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What does a fallback need to do beyond saying that the input was not understood?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When should a chatbot state a limitation rather than attempt an answer?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much evidence is enough to justify one specific change? How much would be needed for a broad claim about bias or fairness?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is Keep as designed a legitimate evidence-based decision?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does independent testing protect the project from creator assumptions?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must the verification input be chosen before Part 5 changes the prototype?</w:t>
      </w:r>
    </w:p>
    <w:p>
      <w:pPr>
        <w:pStyle w:val="3"/>
      </w:pPr>
      <w:r>
        <w:t>Preparing the data set (if applicable)</w:t>
      </w:r>
    </w:p>
    <w:p>
      <w:pPr>
        <w:spacing w:before="0" w:after="60" w:line="240" w:lineRule="auto"/>
        <w:ind w:left="0" w:right="0"/>
      </w:pPr>
      <w:r>
        <w:rPr>
          <w:rFonts w:ascii="Arial" w:hAnsi="Arial" w:eastAsia="Arial"/>
          <w:b w:val="0"/>
          <w:i w:val="0"/>
          <w:color w:val="000000"/>
          <w:sz w:val="17"/>
        </w:rPr>
        <w:t>Part 4 does not require a shared student dataset. The relevant evidence is contained in the prototype, Test Brief and group record. If a teacher uses a digital form to collect outcomes, record only anonymous group codes, route, completion status, decision type and bounded finding categories. Do not collect student names, personal prompts or sensitive content.</w:t>
      </w:r>
    </w:p>
    <w:p>
      <w:pPr>
        <w:pStyle w:val="3"/>
      </w:pPr>
      <w:r>
        <w:t>Teacher Notes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Treat 45 minutes as the standard only when preparation is complete; otherwise use 60 minutes or split the lesson rather than compressing evidence collection.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Do not describe the routes or timing as classroom-validated unless a separate pilot has actually occurred.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One common route reduces device, access and support delays.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Keep a paper backup ready only when it has been completed and verified against the same prototype state before Part 4.</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Collect only the selected route card; do not overwhelm students with all route instructions.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The teacher does not need to judge every response during the lesson. The main quality-control questions are: Was the evidence observable? Is the conclusion bounded? Does the decision cite a test ID?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Part 4 is complete when the evidence package can drive Part 5 without recreating the review.</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4</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4 Teacher Guide</dc:title>
  <dc:subject>GenSTEAMers | Chatting with AI | Full Pathway Part 4</dc:subject>
  <dc:creator/>
  <cp:keywords>GenSTEAMers, Chatting with AI, Full Pathway, Part 4, independent testing, evidence-based review</cp:keywords>
  <dc:description/>
  <cp:lastModifiedBy/>
  <cp:revision>78</cp:revision>
  <dcterms:created xsi:type="dcterms:W3CDTF">2026-06-13T12:51:00Z</dcterms:created>
  <dcterms:modified xsi:type="dcterms:W3CDTF">2026-07-22T18:23:02Z</dcterms:modified>
  <cp:category>GenSTEAMers educational material</cp:category>
</cp:coreProperties>
</file>