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pPr>
      <w:r>
        <w:t>Teacher Walkthrough</w:t>
      </w:r>
    </w:p>
    <w:tbl>
      <w:tblPr>
        <w:tblW w:type="auto" w:w="0"/>
        <w:jc w:val="center"/>
        <w:tblLayout w:type="fixed"/>
        <w:tblLook w:firstColumn="1" w:firstRow="1" w:lastColumn="0" w:lastRow="0" w:noHBand="0" w:noVBand="1" w:val="04A0"/>
      </w:tblPr>
      <w:tblGrid>
        <w:gridCol w:w="10037"/>
      </w:tblGrid>
      <w:tr>
        <w:tc>
          <w:tcPr>
            <w:tcW w:type="dxa" w:w="10037"/>
            <w:shd w:fill="0E4F6C" w:val="clear"/>
            <w:tcBorders>
              <w:top w:val="single" w:sz="8" w:color="0E4F6C"/>
              <w:left w:val="single" w:sz="8" w:color="0E4F6C"/>
              <w:bottom w:val="single" w:sz="8" w:color="0E4F6C"/>
              <w:right w:val="single" w:sz="8" w:color="0E4F6C"/>
            </w:tcBorders>
            <w:tcMar>
              <w:top w:w="80" w:type="dxa"/>
              <w:start w:w="100" w:type="dxa"/>
              <w:bottom w:w="80" w:type="dxa"/>
              <w:end w:w="100" w:type="dxa"/>
            </w:tcMar>
            <w:vAlign w:val="center"/>
          </w:tcPr>
          <w:p>
            <w:pPr>
              <w:spacing w:before="0" w:after="0" w:line="240" w:lineRule="auto"/>
              <w:jc w:val="center"/>
            </w:pPr>
            <w:r>
              <w:rPr>
                <w:b/>
                <w:i w:val="0"/>
                <w:color w:val="FFFFFF"/>
                <w:sz w:val="22"/>
              </w:rPr>
              <w:t>PART 2: Designing Chatbot Logic  |  2 × 30 min recommended  |  45-minute compact route</w:t>
            </w:r>
          </w:p>
        </w:tc>
      </w:tr>
    </w:tbl>
    <w:tbl>
      <w:tblPr>
        <w:tblW w:type="auto" w:w="0"/>
        <w:jc w:val="center"/>
        <w:tblLook w:firstColumn="1" w:firstRow="1" w:lastColumn="0" w:lastRow="0" w:noHBand="0" w:noVBand="1" w:val="04A0"/>
      </w:tblPr>
      <w:tblGrid>
        <w:gridCol w:w="10037"/>
      </w:tblGrid>
      <w:tr>
        <w:tc>
          <w:tcPr>
            <w:tcW w:type="dxa" w:w="10037"/>
            <w:shd w:fill="DDEBF7" w:val="clear"/>
            <w:tcBorders>
              <w:top w:val="single" w:sz="5" w:color="6E9FC5"/>
              <w:left w:val="single" w:sz="5" w:color="6E9FC5"/>
              <w:bottom w:val="single" w:sz="5" w:color="6E9FC5"/>
              <w:right w:val="single" w:sz="5" w:color="6E9FC5"/>
            </w:tcBorders>
            <w:tcMar>
              <w:top w:w="80" w:type="dxa"/>
              <w:start w:w="100" w:type="dxa"/>
              <w:bottom w:w="80" w:type="dxa"/>
              <w:end w:w="100" w:type="dxa"/>
            </w:tcMar>
            <w:vAlign w:val="center"/>
          </w:tcPr>
          <w:p>
            <w:pPr>
              <w:spacing w:before="0" w:after="0" w:line="240" w:lineRule="auto"/>
            </w:pPr>
            <w:r>
              <w:rPr>
                <w:b/>
                <w:i w:val="0"/>
                <w:sz w:val="18"/>
              </w:rPr>
              <w:t>Learning focus  Students turn the evidence-based Part 1 principle into an implementation-ready chatbot logic blueprint. They do not build or test a prototype in Part 2.</w:t>
            </w:r>
          </w:p>
        </w:tc>
      </w:tr>
    </w:tbl>
    <w:p>
      <w:pPr>
        <w:pStyle w:val="Heading2"/>
      </w:pPr>
      <w:r>
        <w:t>Before the lesson</w:t>
      </w:r>
    </w:p>
    <w:p>
      <w:pPr>
        <w:pStyle w:val="ListBullet"/>
      </w:pPr>
      <w:r>
        <w:t>Read the Part 2 Teacher Guide as the main implementation document; use this Walkthrough only as a quick classroom reference.</w:t>
      </w:r>
    </w:p>
    <w:p>
      <w:pPr>
        <w:pStyle w:val="ListBullet"/>
      </w:pPr>
      <w:r>
        <w:t>Make sure each group has its completed Part 1 principle and evidence trace. Keep the same groups where possible.</w:t>
      </w:r>
    </w:p>
    <w:p>
      <w:pPr>
        <w:pStyle w:val="ListBullet"/>
      </w:pPr>
      <w:r>
        <w:t>Print pages 1–4 of the Part 2 Student Worksheet, one copy per group. Page 5 is optional only when approved GenAI design coaching is used.</w:t>
      </w:r>
    </w:p>
    <w:p>
      <w:pPr>
        <w:pStyle w:val="ListBullet"/>
      </w:pPr>
      <w:r>
        <w:t>For the 45-minute route, prepare a short list of pre-approved safe topics and do not include optional GenAI coaching.</w:t>
      </w:r>
    </w:p>
    <w:p>
      <w:pPr>
        <w:pStyle w:val="ListBullet"/>
      </w:pPr>
      <w:r>
        <w:t>Do not open Scratch, create Prompt Capsules, or distribute prototype/testing materials in Part 2.</w:t>
      </w:r>
    </w:p>
    <w:p>
      <w:pPr>
        <w:pStyle w:val="ListBullet"/>
      </w:pPr>
      <w:r>
        <w:t>Decide how the completed worksheet will be collected or saved for Part 3.</w:t>
      </w:r>
    </w:p>
    <w:p>
      <w:pPr>
        <w:pStyle w:val="Heading2"/>
      </w:pPr>
      <w:r>
        <w:t>Session 1 — Carry evidence forward and define</w:t>
      </w:r>
    </w:p>
    <w:tbl>
      <w:tblPr>
        <w:tblW w:type="auto" w:w="0"/>
        <w:jc w:val="center"/>
        <w:tblLayout w:type="fixed"/>
        <w:tblLook w:firstColumn="1" w:firstRow="1" w:lastColumn="0" w:lastRow="0" w:noHBand="0" w:noVBand="1" w:val="04A0"/>
      </w:tblPr>
      <w:tblGrid>
        <w:gridCol w:w="2509"/>
        <w:gridCol w:w="2509"/>
        <w:gridCol w:w="2509"/>
        <w:gridCol w:w="2509"/>
      </w:tblGrid>
      <w:tr>
        <w:trPr>
          <w:cantSplit/>
          <w:tblHeader w:val="true"/>
          <w:tblHeader w:val="true"/>
          <w:tblHeader w:val="true"/>
          <w:tblHeader w:val="true"/>
        </w:trPr>
        <w:tc>
          <w:tcPr>
            <w:tcW w:type="dxa" w:w="2160"/>
            <w:shd w:fill="1F4E79" w:val="clear"/>
            <w:tcMar>
              <w:top w:w="70" w:type="dxa"/>
              <w:start w:w="80" w:type="dxa"/>
              <w:bottom w:w="70" w:type="dxa"/>
              <w:end w:w="80" w:type="dxa"/>
            </w:tcMar>
            <w:tcBorders>
              <w:top w:val="single" w:sz="4" w:color="FFFFFF"/>
              <w:left w:val="single" w:sz="4" w:color="FFFFFF"/>
              <w:bottom w:val="single" w:sz="4" w:color="FFFFFF"/>
              <w:right w:val="single" w:sz="4" w:color="FFFFFF"/>
            </w:tcBorders>
            <w:vAlign w:val="center"/>
          </w:tcPr>
          <w:p>
            <w:pPr>
              <w:spacing w:before="0" w:after="0" w:line="240" w:lineRule="auto"/>
            </w:pPr>
            <w:r>
              <w:rPr>
                <w:b/>
                <w:i w:val="0"/>
                <w:color w:val="FFFFFF"/>
                <w:sz w:val="16"/>
              </w:rPr>
              <w:t>Step</w:t>
            </w:r>
          </w:p>
        </w:tc>
        <w:tc>
          <w:tcPr>
            <w:tcW w:type="dxa" w:w="936"/>
            <w:shd w:fill="1F4E79" w:val="clear"/>
            <w:tcMar>
              <w:top w:w="70" w:type="dxa"/>
              <w:start w:w="80" w:type="dxa"/>
              <w:bottom w:w="70" w:type="dxa"/>
              <w:end w:w="80" w:type="dxa"/>
            </w:tcMar>
            <w:tcBorders>
              <w:top w:val="single" w:sz="4" w:color="FFFFFF"/>
              <w:left w:val="single" w:sz="4" w:color="FFFFFF"/>
              <w:bottom w:val="single" w:sz="4" w:color="FFFFFF"/>
              <w:right w:val="single" w:sz="4" w:color="FFFFFF"/>
            </w:tcBorders>
            <w:vAlign w:val="center"/>
          </w:tcPr>
          <w:p>
            <w:pPr>
              <w:spacing w:before="0" w:after="0" w:line="240" w:lineRule="auto"/>
            </w:pPr>
            <w:r>
              <w:rPr>
                <w:b/>
                <w:i w:val="0"/>
                <w:color w:val="FFFFFF"/>
                <w:sz w:val="16"/>
              </w:rPr>
              <w:t>Time</w:t>
            </w:r>
          </w:p>
        </w:tc>
        <w:tc>
          <w:tcPr>
            <w:tcW w:type="dxa" w:w="3888"/>
            <w:shd w:fill="1F4E79" w:val="clear"/>
            <w:tcMar>
              <w:top w:w="70" w:type="dxa"/>
              <w:start w:w="80" w:type="dxa"/>
              <w:bottom w:w="70" w:type="dxa"/>
              <w:end w:w="80" w:type="dxa"/>
            </w:tcMar>
            <w:tcBorders>
              <w:top w:val="single" w:sz="4" w:color="FFFFFF"/>
              <w:left w:val="single" w:sz="4" w:color="FFFFFF"/>
              <w:bottom w:val="single" w:sz="4" w:color="FFFFFF"/>
              <w:right w:val="single" w:sz="4" w:color="FFFFFF"/>
            </w:tcBorders>
            <w:vAlign w:val="center"/>
          </w:tcPr>
          <w:p>
            <w:pPr>
              <w:spacing w:before="0" w:after="0" w:line="240" w:lineRule="auto"/>
            </w:pPr>
            <w:r>
              <w:rPr>
                <w:b/>
                <w:i w:val="0"/>
                <w:color w:val="FFFFFF"/>
                <w:sz w:val="16"/>
              </w:rPr>
              <w:t>Teacher move</w:t>
            </w:r>
          </w:p>
        </w:tc>
        <w:tc>
          <w:tcPr>
            <w:tcW w:type="dxa" w:w="2376"/>
            <w:shd w:fill="1F4E79" w:val="clear"/>
            <w:tcMar>
              <w:top w:w="70" w:type="dxa"/>
              <w:start w:w="80" w:type="dxa"/>
              <w:bottom w:w="70" w:type="dxa"/>
              <w:end w:w="80" w:type="dxa"/>
            </w:tcMar>
            <w:tcBorders>
              <w:top w:val="single" w:sz="4" w:color="FFFFFF"/>
              <w:left w:val="single" w:sz="4" w:color="FFFFFF"/>
              <w:bottom w:val="single" w:sz="4" w:color="FFFFFF"/>
              <w:right w:val="single" w:sz="4" w:color="FFFFFF"/>
            </w:tcBorders>
            <w:vAlign w:val="center"/>
          </w:tcPr>
          <w:p>
            <w:pPr>
              <w:spacing w:before="0" w:after="0" w:line="240" w:lineRule="auto"/>
            </w:pPr>
            <w:r>
              <w:rPr>
                <w:b/>
                <w:i w:val="0"/>
                <w:color w:val="FFFFFF"/>
                <w:sz w:val="16"/>
              </w:rPr>
              <w:t>Student output</w:t>
            </w:r>
          </w:p>
        </w:tc>
      </w:tr>
      <w:tr>
        <w:trPr>
          <w:cantSplit/>
        </w:trPr>
        <w:tc>
          <w:tcPr>
            <w:tcW w:type="dxa" w:w="2160"/>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1. Reconnect with Part 1</w:t>
            </w:r>
          </w:p>
        </w:tc>
        <w:tc>
          <w:tcPr>
            <w:tcW w:type="dxa" w:w="936"/>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5 min</w:t>
            </w:r>
          </w:p>
        </w:tc>
        <w:tc>
          <w:tcPr>
            <w:tcW w:type="dxa" w:w="3888"/>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Retrieve the real principle and evidence behind the principle.</w:t>
            </w:r>
          </w:p>
        </w:tc>
        <w:tc>
          <w:tcPr>
            <w:tcW w:type="dxa" w:w="2376"/>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Principle + evidence behind the principle.</w:t>
            </w:r>
          </w:p>
        </w:tc>
      </w:tr>
      <w:tr>
        <w:trPr>
          <w:cantSplit/>
        </w:trPr>
        <w:tc>
          <w:tcPr>
            <w:tcW w:type="dxa" w:w="2160"/>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2. Create the requirement</w:t>
            </w:r>
          </w:p>
        </w:tc>
        <w:tc>
          <w:tcPr>
            <w:tcW w:type="dxa" w:w="936"/>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5 min</w:t>
            </w:r>
          </w:p>
        </w:tc>
        <w:tc>
          <w:tcPr>
            <w:tcW w:type="dxa" w:w="3888"/>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Ask: What exact behaviour will the user notice?</w:t>
            </w:r>
          </w:p>
        </w:tc>
        <w:tc>
          <w:tcPr>
            <w:tcW w:type="dxa" w:w="2376"/>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“Our chatbot will...” + planned feature.</w:t>
            </w:r>
          </w:p>
        </w:tc>
      </w:tr>
      <w:tr>
        <w:trPr>
          <w:cantSplit/>
        </w:trPr>
        <w:tc>
          <w:tcPr>
            <w:tcW w:type="dxa" w:w="2160"/>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3. Purpose, user, scope</w:t>
            </w:r>
          </w:p>
        </w:tc>
        <w:tc>
          <w:tcPr>
            <w:tcW w:type="dxa" w:w="936"/>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8 min</w:t>
            </w:r>
          </w:p>
        </w:tc>
        <w:tc>
          <w:tcPr>
            <w:tcW w:type="dxa" w:w="3888"/>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Use the worksheet/Safe Topic and Scope Card self-check, then circulate for rapid “approved” or “revise” sign-off; groups may start questions while waiting.</w:t>
            </w:r>
          </w:p>
        </w:tc>
        <w:tc>
          <w:tcPr>
            <w:tcW w:type="dxa" w:w="2376"/>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Purpose, user, in/out-of-scope.</w:t>
            </w:r>
          </w:p>
        </w:tc>
      </w:tr>
      <w:tr>
        <w:trPr>
          <w:cantSplit/>
        </w:trPr>
        <w:tc>
          <w:tcPr>
            <w:tcW w:type="dxa" w:w="2160"/>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4. Four likely questions</w:t>
            </w:r>
          </w:p>
        </w:tc>
        <w:tc>
          <w:tcPr>
            <w:tcW w:type="dxa" w:w="936"/>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7 min</w:t>
            </w:r>
          </w:p>
        </w:tc>
        <w:tc>
          <w:tcPr>
            <w:tcW w:type="dxa" w:w="3888"/>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Questions reveal user needs, not automatic branches.</w:t>
            </w:r>
          </w:p>
        </w:tc>
        <w:tc>
          <w:tcPr>
            <w:tcW w:type="dxa" w:w="2376"/>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Four realistic questions.</w:t>
            </w:r>
          </w:p>
        </w:tc>
      </w:tr>
      <w:tr>
        <w:trPr>
          <w:cantSplit/>
        </w:trPr>
        <w:tc>
          <w:tcPr>
            <w:tcW w:type="dxa" w:w="2160"/>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5. Check and save</w:t>
            </w:r>
          </w:p>
        </w:tc>
        <w:tc>
          <w:tcPr>
            <w:tcW w:type="dxa" w:w="936"/>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5 min</w:t>
            </w:r>
          </w:p>
        </w:tc>
        <w:tc>
          <w:tcPr>
            <w:tcW w:type="dxa" w:w="3888"/>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Circulate with a four-point readiness check; give one focused revision only.</w:t>
            </w:r>
          </w:p>
        </w:tc>
        <w:tc>
          <w:tcPr>
            <w:tcW w:type="dxa" w:w="2376"/>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Ready for Session 2 or one named revision.</w:t>
            </w:r>
          </w:p>
        </w:tc>
      </w:tr>
    </w:tbl>
    <w:p>
      <w:pPr>
        <w:pStyle w:val="Heading2"/>
      </w:pPr>
      <w:r>
        <w:t>Session 2 — Organise and complete the logic</w:t>
      </w:r>
    </w:p>
    <w:tbl>
      <w:tblPr>
        <w:tblW w:type="auto" w:w="0"/>
        <w:jc w:val="center"/>
        <w:tblLayout w:type="fixed"/>
        <w:tblLook w:firstColumn="1" w:firstRow="1" w:lastColumn="0" w:lastRow="0" w:noHBand="0" w:noVBand="1" w:val="04A0"/>
      </w:tblPr>
      <w:tblGrid>
        <w:gridCol w:w="2509"/>
        <w:gridCol w:w="2509"/>
        <w:gridCol w:w="2509"/>
        <w:gridCol w:w="2509"/>
      </w:tblGrid>
      <w:tr>
        <w:trPr>
          <w:cantSplit/>
          <w:tblHeader w:val="true"/>
          <w:tblHeader w:val="true"/>
          <w:tblHeader w:val="true"/>
          <w:tblHeader w:val="true"/>
        </w:trPr>
        <w:tc>
          <w:tcPr>
            <w:tcW w:type="dxa" w:w="2160"/>
            <w:shd w:fill="1F4E79" w:val="clear"/>
            <w:tcMar>
              <w:top w:w="70" w:type="dxa"/>
              <w:start w:w="80" w:type="dxa"/>
              <w:bottom w:w="70" w:type="dxa"/>
              <w:end w:w="80" w:type="dxa"/>
            </w:tcMar>
            <w:tcBorders>
              <w:top w:val="single" w:sz="4" w:color="FFFFFF"/>
              <w:left w:val="single" w:sz="4" w:color="FFFFFF"/>
              <w:bottom w:val="single" w:sz="4" w:color="FFFFFF"/>
              <w:right w:val="single" w:sz="4" w:color="FFFFFF"/>
            </w:tcBorders>
            <w:vAlign w:val="center"/>
          </w:tcPr>
          <w:p>
            <w:pPr>
              <w:spacing w:before="0" w:after="0" w:line="240" w:lineRule="auto"/>
            </w:pPr>
            <w:r>
              <w:rPr>
                <w:b/>
                <w:i w:val="0"/>
                <w:color w:val="FFFFFF"/>
                <w:sz w:val="16"/>
              </w:rPr>
              <w:t>Step</w:t>
            </w:r>
          </w:p>
        </w:tc>
        <w:tc>
          <w:tcPr>
            <w:tcW w:type="dxa" w:w="936"/>
            <w:shd w:fill="1F4E79" w:val="clear"/>
            <w:tcMar>
              <w:top w:w="70" w:type="dxa"/>
              <w:start w:w="80" w:type="dxa"/>
              <w:bottom w:w="70" w:type="dxa"/>
              <w:end w:w="80" w:type="dxa"/>
            </w:tcMar>
            <w:tcBorders>
              <w:top w:val="single" w:sz="4" w:color="FFFFFF"/>
              <w:left w:val="single" w:sz="4" w:color="FFFFFF"/>
              <w:bottom w:val="single" w:sz="4" w:color="FFFFFF"/>
              <w:right w:val="single" w:sz="4" w:color="FFFFFF"/>
            </w:tcBorders>
            <w:vAlign w:val="center"/>
          </w:tcPr>
          <w:p>
            <w:pPr>
              <w:spacing w:before="0" w:after="0" w:line="240" w:lineRule="auto"/>
            </w:pPr>
            <w:r>
              <w:rPr>
                <w:b/>
                <w:i w:val="0"/>
                <w:color w:val="FFFFFF"/>
                <w:sz w:val="16"/>
              </w:rPr>
              <w:t>Time</w:t>
            </w:r>
          </w:p>
        </w:tc>
        <w:tc>
          <w:tcPr>
            <w:tcW w:type="dxa" w:w="3888"/>
            <w:shd w:fill="1F4E79" w:val="clear"/>
            <w:tcMar>
              <w:top w:w="70" w:type="dxa"/>
              <w:start w:w="80" w:type="dxa"/>
              <w:bottom w:w="70" w:type="dxa"/>
              <w:end w:w="80" w:type="dxa"/>
            </w:tcMar>
            <w:tcBorders>
              <w:top w:val="single" w:sz="4" w:color="FFFFFF"/>
              <w:left w:val="single" w:sz="4" w:color="FFFFFF"/>
              <w:bottom w:val="single" w:sz="4" w:color="FFFFFF"/>
              <w:right w:val="single" w:sz="4" w:color="FFFFFF"/>
            </w:tcBorders>
            <w:vAlign w:val="center"/>
          </w:tcPr>
          <w:p>
            <w:pPr>
              <w:spacing w:before="0" w:after="0" w:line="240" w:lineRule="auto"/>
            </w:pPr>
            <w:r>
              <w:rPr>
                <w:b/>
                <w:i w:val="0"/>
                <w:color w:val="FFFFFF"/>
                <w:sz w:val="16"/>
              </w:rPr>
              <w:t>Teacher move</w:t>
            </w:r>
          </w:p>
        </w:tc>
        <w:tc>
          <w:tcPr>
            <w:tcW w:type="dxa" w:w="2376"/>
            <w:shd w:fill="1F4E79" w:val="clear"/>
            <w:tcMar>
              <w:top w:w="70" w:type="dxa"/>
              <w:start w:w="80" w:type="dxa"/>
              <w:bottom w:w="70" w:type="dxa"/>
              <w:end w:w="80" w:type="dxa"/>
            </w:tcMar>
            <w:tcBorders>
              <w:top w:val="single" w:sz="4" w:color="FFFFFF"/>
              <w:left w:val="single" w:sz="4" w:color="FFFFFF"/>
              <w:bottom w:val="single" w:sz="4" w:color="FFFFFF"/>
              <w:right w:val="single" w:sz="4" w:color="FFFFFF"/>
            </w:tcBorders>
            <w:vAlign w:val="center"/>
          </w:tcPr>
          <w:p>
            <w:pPr>
              <w:spacing w:before="0" w:after="0" w:line="240" w:lineRule="auto"/>
            </w:pPr>
            <w:r>
              <w:rPr>
                <w:b/>
                <w:i w:val="0"/>
                <w:color w:val="FFFFFF"/>
                <w:sz w:val="16"/>
              </w:rPr>
              <w:t>Student output</w:t>
            </w:r>
          </w:p>
        </w:tc>
      </w:tr>
      <w:tr>
        <w:trPr>
          <w:cantSplit/>
        </w:trPr>
        <w:tc>
          <w:tcPr>
            <w:tcW w:type="dxa" w:w="2160"/>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1. Restart</w:t>
            </w:r>
          </w:p>
        </w:tc>
        <w:tc>
          <w:tcPr>
            <w:tcW w:type="dxa" w:w="936"/>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3 min</w:t>
            </w:r>
          </w:p>
        </w:tc>
        <w:tc>
          <w:tcPr>
            <w:tcW w:type="dxa" w:w="3888"/>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Repair only the one marked issue.</w:t>
            </w:r>
          </w:p>
        </w:tc>
        <w:tc>
          <w:tcPr>
            <w:tcW w:type="dxa" w:w="2376"/>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Confirmed starting design.</w:t>
            </w:r>
          </w:p>
        </w:tc>
      </w:tr>
      <w:tr>
        <w:trPr>
          <w:cantSplit/>
        </w:trPr>
        <w:tc>
          <w:tcPr>
            <w:tcW w:type="dxa" w:w="2160"/>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2. Three categories</w:t>
            </w:r>
          </w:p>
        </w:tc>
        <w:tc>
          <w:tcPr>
            <w:tcW w:type="dxa" w:w="936"/>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7 min</w:t>
            </w:r>
          </w:p>
        </w:tc>
        <w:tc>
          <w:tcPr>
            <w:tcW w:type="dxa" w:w="3888"/>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Group the four questions into three kinds of help.</w:t>
            </w:r>
          </w:p>
        </w:tc>
        <w:tc>
          <w:tcPr>
            <w:tcW w:type="dxa" w:w="2376"/>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Three categories; all questions mapped.</w:t>
            </w:r>
          </w:p>
        </w:tc>
      </w:tr>
      <w:tr>
        <w:trPr>
          <w:cantSplit/>
        </w:trPr>
        <w:tc>
          <w:tcPr>
            <w:tcW w:type="dxa" w:w="2160"/>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3. Three responses</w:t>
            </w:r>
          </w:p>
        </w:tc>
        <w:tc>
          <w:tcPr>
            <w:tcW w:type="dxa" w:w="936"/>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8 min</w:t>
            </w:r>
          </w:p>
        </w:tc>
        <w:tc>
          <w:tcPr>
            <w:tcW w:type="dxa" w:w="3888"/>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Require one short useful response per category.</w:t>
            </w:r>
          </w:p>
        </w:tc>
        <w:tc>
          <w:tcPr>
            <w:tcW w:type="dxa" w:w="2376"/>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Three model responses.</w:t>
            </w:r>
          </w:p>
        </w:tc>
      </w:tr>
      <w:tr>
        <w:trPr>
          <w:cantSplit/>
        </w:trPr>
        <w:tc>
          <w:tcPr>
            <w:tcW w:type="dxa" w:w="2160"/>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4. Recovery and limits</w:t>
            </w:r>
          </w:p>
        </w:tc>
        <w:tc>
          <w:tcPr>
            <w:tcW w:type="dxa" w:w="936"/>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5 min</w:t>
            </w:r>
          </w:p>
        </w:tc>
        <w:tc>
          <w:tcPr>
            <w:tcW w:type="dxa" w:w="3888"/>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Separate fallback from limitation/safety.</w:t>
            </w:r>
          </w:p>
        </w:tc>
        <w:tc>
          <w:tcPr>
            <w:tcW w:type="dxa" w:w="2376"/>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Two distinct messages.</w:t>
            </w:r>
          </w:p>
        </w:tc>
      </w:tr>
      <w:tr>
        <w:trPr>
          <w:cantSplit/>
        </w:trPr>
        <w:tc>
          <w:tcPr>
            <w:tcW w:type="dxa" w:w="2160"/>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5. Design walkthrough</w:t>
            </w:r>
          </w:p>
        </w:tc>
        <w:tc>
          <w:tcPr>
            <w:tcW w:type="dxa" w:w="936"/>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4 min</w:t>
            </w:r>
          </w:p>
        </w:tc>
        <w:tc>
          <w:tcPr>
            <w:tcW w:type="dxa" w:w="3888"/>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Route supported, unclear, and outside-scope inputs on paper.</w:t>
            </w:r>
          </w:p>
        </w:tc>
        <w:tc>
          <w:tcPr>
            <w:tcW w:type="dxa" w:w="2376"/>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Logic gap repaired if needed.</w:t>
            </w:r>
          </w:p>
        </w:tc>
      </w:tr>
      <w:tr>
        <w:trPr>
          <w:cantSplit/>
        </w:trPr>
        <w:tc>
          <w:tcPr>
            <w:tcW w:type="dxa" w:w="2160"/>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6. Build Brief</w:t>
            </w:r>
          </w:p>
        </w:tc>
        <w:tc>
          <w:tcPr>
            <w:tcW w:type="dxa" w:w="936"/>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3 min</w:t>
            </w:r>
          </w:p>
        </w:tc>
        <w:tc>
          <w:tcPr>
            <w:tcW w:type="dxa" w:w="3888"/>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Use the same worksheet as the Part 3 handover.</w:t>
            </w:r>
          </w:p>
        </w:tc>
        <w:tc>
          <w:tcPr>
            <w:tcW w:type="dxa" w:w="2376"/>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Ready to build or Revise first.</w:t>
            </w:r>
          </w:p>
        </w:tc>
      </w:tr>
    </w:tbl>
    <w:p>
      <w:pPr>
        <w:pStyle w:val="Heading2"/>
      </w:pPr>
      <w:r>
        <w:t>45-minute compact route</w:t>
      </w:r>
    </w:p>
    <w:tbl>
      <w:tblPr>
        <w:tblW w:type="auto" w:w="0"/>
        <w:jc w:val="center"/>
        <w:tblLayout w:type="fixed"/>
        <w:tblLook w:firstColumn="1" w:firstRow="1" w:lastColumn="0" w:lastRow="0" w:noHBand="0" w:noVBand="1" w:val="04A0"/>
      </w:tblPr>
      <w:tblGrid>
        <w:gridCol w:w="2509"/>
        <w:gridCol w:w="2509"/>
        <w:gridCol w:w="2509"/>
        <w:gridCol w:w="2509"/>
      </w:tblGrid>
      <w:tr>
        <w:trPr>
          <w:cantSplit/>
          <w:tblHeader w:val="true"/>
          <w:tblHeader w:val="true"/>
          <w:tblHeader w:val="true"/>
          <w:tblHeader w:val="true"/>
        </w:trPr>
        <w:tc>
          <w:tcPr>
            <w:tcW w:type="dxa" w:w="2160"/>
            <w:shd w:fill="1F4E79" w:val="clear"/>
            <w:tcMar>
              <w:top w:w="70" w:type="dxa"/>
              <w:start w:w="80" w:type="dxa"/>
              <w:bottom w:w="70" w:type="dxa"/>
              <w:end w:w="80" w:type="dxa"/>
            </w:tcMar>
            <w:tcBorders>
              <w:top w:val="single" w:sz="4" w:color="FFFFFF"/>
              <w:left w:val="single" w:sz="4" w:color="FFFFFF"/>
              <w:bottom w:val="single" w:sz="4" w:color="FFFFFF"/>
              <w:right w:val="single" w:sz="4" w:color="FFFFFF"/>
            </w:tcBorders>
            <w:vAlign w:val="center"/>
          </w:tcPr>
          <w:p>
            <w:pPr>
              <w:spacing w:before="0" w:after="0" w:line="240" w:lineRule="auto"/>
            </w:pPr>
            <w:r>
              <w:rPr>
                <w:b/>
                <w:i w:val="0"/>
                <w:color w:val="FFFFFF"/>
                <w:sz w:val="16"/>
              </w:rPr>
              <w:t>Stage</w:t>
            </w:r>
          </w:p>
        </w:tc>
        <w:tc>
          <w:tcPr>
            <w:tcW w:type="dxa" w:w="792"/>
            <w:shd w:fill="1F4E79" w:val="clear"/>
            <w:tcMar>
              <w:top w:w="70" w:type="dxa"/>
              <w:start w:w="80" w:type="dxa"/>
              <w:bottom w:w="70" w:type="dxa"/>
              <w:end w:w="80" w:type="dxa"/>
            </w:tcMar>
            <w:tcBorders>
              <w:top w:val="single" w:sz="4" w:color="FFFFFF"/>
              <w:left w:val="single" w:sz="4" w:color="FFFFFF"/>
              <w:bottom w:val="single" w:sz="4" w:color="FFFFFF"/>
              <w:right w:val="single" w:sz="4" w:color="FFFFFF"/>
            </w:tcBorders>
            <w:vAlign w:val="center"/>
          </w:tcPr>
          <w:p>
            <w:pPr>
              <w:spacing w:before="0" w:after="0" w:line="240" w:lineRule="auto"/>
            </w:pPr>
            <w:r>
              <w:rPr>
                <w:b/>
                <w:i w:val="0"/>
                <w:color w:val="FFFFFF"/>
                <w:sz w:val="16"/>
              </w:rPr>
              <w:t>Time</w:t>
            </w:r>
          </w:p>
        </w:tc>
        <w:tc>
          <w:tcPr>
            <w:tcW w:type="dxa" w:w="3456"/>
            <w:shd w:fill="1F4E79" w:val="clear"/>
            <w:tcMar>
              <w:top w:w="70" w:type="dxa"/>
              <w:start w:w="80" w:type="dxa"/>
              <w:bottom w:w="70" w:type="dxa"/>
              <w:end w:w="80" w:type="dxa"/>
            </w:tcMar>
            <w:tcBorders>
              <w:top w:val="single" w:sz="4" w:color="FFFFFF"/>
              <w:left w:val="single" w:sz="4" w:color="FFFFFF"/>
              <w:bottom w:val="single" w:sz="4" w:color="FFFFFF"/>
              <w:right w:val="single" w:sz="4" w:color="FFFFFF"/>
            </w:tcBorders>
            <w:vAlign w:val="center"/>
          </w:tcPr>
          <w:p>
            <w:pPr>
              <w:spacing w:before="0" w:after="0" w:line="240" w:lineRule="auto"/>
            </w:pPr>
            <w:r>
              <w:rPr>
                <w:b/>
                <w:i w:val="0"/>
                <w:color w:val="FFFFFF"/>
                <w:sz w:val="16"/>
              </w:rPr>
              <w:t>Protect</w:t>
            </w:r>
          </w:p>
        </w:tc>
        <w:tc>
          <w:tcPr>
            <w:tcW w:type="dxa" w:w="2951"/>
            <w:shd w:fill="1F4E79" w:val="clear"/>
            <w:tcMar>
              <w:top w:w="70" w:type="dxa"/>
              <w:start w:w="80" w:type="dxa"/>
              <w:bottom w:w="70" w:type="dxa"/>
              <w:end w:w="80" w:type="dxa"/>
            </w:tcMar>
            <w:tcBorders>
              <w:top w:val="single" w:sz="4" w:color="FFFFFF"/>
              <w:left w:val="single" w:sz="4" w:color="FFFFFF"/>
              <w:bottom w:val="single" w:sz="4" w:color="FFFFFF"/>
              <w:right w:val="single" w:sz="4" w:color="FFFFFF"/>
            </w:tcBorders>
            <w:vAlign w:val="center"/>
          </w:tcPr>
          <w:p>
            <w:pPr>
              <w:spacing w:before="0" w:after="0" w:line="240" w:lineRule="auto"/>
            </w:pPr>
            <w:r>
              <w:rPr>
                <w:b/>
                <w:i w:val="0"/>
                <w:color w:val="FFFFFF"/>
                <w:sz w:val="16"/>
              </w:rPr>
              <w:t>Reduce</w:t>
            </w:r>
          </w:p>
        </w:tc>
      </w:tr>
      <w:tr>
        <w:trPr>
          <w:cantSplit/>
        </w:trPr>
        <w:tc>
          <w:tcPr>
            <w:tcW w:type="dxa" w:w="2160"/>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Requirement</w:t>
            </w:r>
          </w:p>
        </w:tc>
        <w:tc>
          <w:tcPr>
            <w:tcW w:type="dxa" w:w="792"/>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5</w:t>
            </w:r>
          </w:p>
        </w:tc>
        <w:tc>
          <w:tcPr>
            <w:tcW w:type="dxa" w:w="3456"/>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Specific behaviour + feature</w:t>
            </w:r>
          </w:p>
        </w:tc>
        <w:tc>
          <w:tcPr>
            <w:tcW w:type="dxa" w:w="2951"/>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Long discussion</w:t>
            </w:r>
          </w:p>
        </w:tc>
      </w:tr>
      <w:tr>
        <w:trPr>
          <w:cantSplit/>
        </w:trPr>
        <w:tc>
          <w:tcPr>
            <w:tcW w:type="dxa" w:w="2160"/>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Purpose/user/scope</w:t>
            </w:r>
          </w:p>
        </w:tc>
        <w:tc>
          <w:tcPr>
            <w:tcW w:type="dxa" w:w="792"/>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6</w:t>
            </w:r>
          </w:p>
        </w:tc>
        <w:tc>
          <w:tcPr>
            <w:tcW w:type="dxa" w:w="3456"/>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Narrow approved mission</w:t>
            </w:r>
          </w:p>
        </w:tc>
        <w:tc>
          <w:tcPr>
            <w:tcW w:type="dxa" w:w="2951"/>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Open topic exploration</w:t>
            </w:r>
          </w:p>
        </w:tc>
      </w:tr>
      <w:tr>
        <w:trPr>
          <w:cantSplit/>
        </w:trPr>
        <w:tc>
          <w:tcPr>
            <w:tcW w:type="dxa" w:w="2160"/>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Four questions</w:t>
            </w:r>
          </w:p>
        </w:tc>
        <w:tc>
          <w:tcPr>
            <w:tcW w:type="dxa" w:w="792"/>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7</w:t>
            </w:r>
          </w:p>
        </w:tc>
        <w:tc>
          <w:tcPr>
            <w:tcW w:type="dxa" w:w="3456"/>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Short realistic inputs</w:t>
            </w:r>
          </w:p>
        </w:tc>
        <w:tc>
          <w:tcPr>
            <w:tcW w:type="dxa" w:w="2951"/>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Extra questions</w:t>
            </w:r>
          </w:p>
        </w:tc>
      </w:tr>
      <w:tr>
        <w:trPr>
          <w:cantSplit/>
        </w:trPr>
        <w:tc>
          <w:tcPr>
            <w:tcW w:type="dxa" w:w="2160"/>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Three categories</w:t>
            </w:r>
          </w:p>
        </w:tc>
        <w:tc>
          <w:tcPr>
            <w:tcW w:type="dxa" w:w="792"/>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7</w:t>
            </w:r>
          </w:p>
        </w:tc>
        <w:tc>
          <w:tcPr>
            <w:tcW w:type="dxa" w:w="3456"/>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Every question mapped</w:t>
            </w:r>
          </w:p>
        </w:tc>
        <w:tc>
          <w:tcPr>
            <w:tcW w:type="dxa" w:w="2951"/>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Alternative structures</w:t>
            </w:r>
          </w:p>
        </w:tc>
      </w:tr>
      <w:tr>
        <w:trPr>
          <w:cantSplit/>
        </w:trPr>
        <w:tc>
          <w:tcPr>
            <w:tcW w:type="dxa" w:w="2160"/>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Three responses</w:t>
            </w:r>
          </w:p>
        </w:tc>
        <w:tc>
          <w:tcPr>
            <w:tcW w:type="dxa" w:w="792"/>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8</w:t>
            </w:r>
          </w:p>
        </w:tc>
        <w:tc>
          <w:tcPr>
            <w:tcW w:type="dxa" w:w="3456"/>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One or two sentences each</w:t>
            </w:r>
          </w:p>
        </w:tc>
        <w:tc>
          <w:tcPr>
            <w:tcW w:type="dxa" w:w="2951"/>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Tone polishing</w:t>
            </w:r>
          </w:p>
        </w:tc>
      </w:tr>
      <w:tr>
        <w:trPr>
          <w:cantSplit/>
        </w:trPr>
        <w:tc>
          <w:tcPr>
            <w:tcW w:type="dxa" w:w="2160"/>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Fallback + limitation</w:t>
            </w:r>
          </w:p>
        </w:tc>
        <w:tc>
          <w:tcPr>
            <w:tcW w:type="dxa" w:w="792"/>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5</w:t>
            </w:r>
          </w:p>
        </w:tc>
        <w:tc>
          <w:tcPr>
            <w:tcW w:type="dxa" w:w="3456"/>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Two distinct messages</w:t>
            </w:r>
          </w:p>
        </w:tc>
        <w:tc>
          <w:tcPr>
            <w:tcW w:type="dxa" w:w="2951"/>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Extra wording</w:t>
            </w:r>
          </w:p>
        </w:tc>
      </w:tr>
      <w:tr>
        <w:trPr>
          <w:cantSplit/>
        </w:trPr>
        <w:tc>
          <w:tcPr>
            <w:tcW w:type="dxa" w:w="2160"/>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Walkthrough</w:t>
            </w:r>
          </w:p>
        </w:tc>
        <w:tc>
          <w:tcPr>
            <w:tcW w:type="dxa" w:w="792"/>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4</w:t>
            </w:r>
          </w:p>
        </w:tc>
        <w:tc>
          <w:tcPr>
            <w:tcW w:type="dxa" w:w="3456"/>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Three input types</w:t>
            </w:r>
          </w:p>
        </w:tc>
        <w:tc>
          <w:tcPr>
            <w:tcW w:type="dxa" w:w="2951"/>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Role-play performance</w:t>
            </w:r>
          </w:p>
        </w:tc>
      </w:tr>
      <w:tr>
        <w:trPr>
          <w:cantSplit/>
        </w:trPr>
        <w:tc>
          <w:tcPr>
            <w:tcW w:type="dxa" w:w="2160"/>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Build Brief</w:t>
            </w:r>
          </w:p>
        </w:tc>
        <w:tc>
          <w:tcPr>
            <w:tcW w:type="dxa" w:w="792"/>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3</w:t>
            </w:r>
          </w:p>
        </w:tc>
        <w:tc>
          <w:tcPr>
            <w:tcW w:type="dxa" w:w="3456"/>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Readiness decision</w:t>
            </w:r>
          </w:p>
        </w:tc>
        <w:tc>
          <w:tcPr>
            <w:tcW w:type="dxa" w:w="2951"/>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Presentation</w:t>
            </w:r>
          </w:p>
        </w:tc>
      </w:tr>
    </w:tbl>
    <w:tbl>
      <w:tblPr>
        <w:tblW w:type="auto" w:w="0"/>
        <w:jc w:val="center"/>
        <w:tblLook w:firstColumn="1" w:firstRow="1" w:lastColumn="0" w:lastRow="0" w:noHBand="0" w:noVBand="1" w:val="04A0"/>
      </w:tblPr>
      <w:tblGrid>
        <w:gridCol w:w="10037"/>
      </w:tblGrid>
      <w:tr>
        <w:tc>
          <w:tcPr>
            <w:tcW w:type="dxa" w:w="10037"/>
            <w:shd w:fill="FCE9CF" w:val="clear"/>
            <w:tcBorders>
              <w:top w:val="single" w:sz="5" w:color="6E9FC5"/>
              <w:left w:val="single" w:sz="5" w:color="6E9FC5"/>
              <w:bottom w:val="single" w:sz="5" w:color="6E9FC5"/>
              <w:right w:val="single" w:sz="5" w:color="6E9FC5"/>
            </w:tcBorders>
            <w:tcMar>
              <w:top w:w="80" w:type="dxa"/>
              <w:start w:w="100" w:type="dxa"/>
              <w:bottom w:w="80" w:type="dxa"/>
              <w:end w:w="100" w:type="dxa"/>
            </w:tcMar>
            <w:vAlign w:val="center"/>
          </w:tcPr>
          <w:p>
            <w:pPr>
              <w:spacing w:before="0" w:after="0" w:line="240" w:lineRule="auto"/>
            </w:pPr>
            <w:r>
              <w:rPr>
                <w:b/>
                <w:i w:val="0"/>
                <w:sz w:val="18"/>
              </w:rPr>
              <w:t>Timing contingency  If one issue remains, mark REVISE FIRST and complete that single repair at the opening of Part 3. Do not transfer an unclear purpose, missing response, or merged fallback/limitation into the build phase.</w:t>
            </w:r>
          </w:p>
        </w:tc>
      </w:tr>
    </w:tbl>
    <w:p>
      <w:pPr>
        <w:pStyle w:val="Heading2"/>
      </w:pPr>
      <w:r>
        <w:t>Teacher language you can use</w:t>
      </w:r>
    </w:p>
    <w:tbl>
      <w:tblPr>
        <w:tblW w:type="auto" w:w="0"/>
        <w:jc w:val="center"/>
        <w:tblLayout w:type="fixed"/>
        <w:tblLook w:firstColumn="1" w:firstRow="1" w:lastColumn="0" w:lastRow="0" w:noHBand="0" w:noVBand="1" w:val="04A0"/>
      </w:tblPr>
      <w:tblGrid>
        <w:gridCol w:w="5018"/>
        <w:gridCol w:w="5018"/>
      </w:tblGrid>
      <w:tr>
        <w:trPr>
          <w:tblHeader w:val="true"/>
          <w:cantSplit/>
          <w:tblHeader w:val="true"/>
          <w:tblHeader w:val="true"/>
        </w:trPr>
        <w:tc>
          <w:tcPr>
            <w:tcW w:type="dxa" w:w="2015"/>
            <w:shd w:fill="1F4E79" w:val="clear"/>
            <w:tcMar>
              <w:top w:w="70" w:type="dxa"/>
              <w:start w:w="80" w:type="dxa"/>
              <w:bottom w:w="70" w:type="dxa"/>
              <w:end w:w="80" w:type="dxa"/>
            </w:tcMar>
            <w:tcBorders>
              <w:top w:val="single" w:sz="4" w:color="FFFFFF"/>
              <w:left w:val="single" w:sz="4" w:color="FFFFFF"/>
              <w:bottom w:val="single" w:sz="4" w:color="FFFFFF"/>
              <w:right w:val="single" w:sz="4" w:color="FFFFFF"/>
            </w:tcBorders>
            <w:vAlign w:val="center"/>
          </w:tcPr>
          <w:p>
            <w:pPr>
              <w:spacing w:before="0" w:after="0" w:line="240" w:lineRule="auto"/>
            </w:pPr>
            <w:r>
              <w:rPr>
                <w:b/>
                <w:i w:val="0"/>
                <w:color w:val="FFFFFF"/>
                <w:sz w:val="16"/>
              </w:rPr>
              <w:t>Moment</w:t>
            </w:r>
          </w:p>
        </w:tc>
        <w:tc>
          <w:tcPr>
            <w:tcW w:type="dxa" w:w="7343"/>
            <w:shd w:fill="1F4E79" w:val="clear"/>
            <w:tcMar>
              <w:top w:w="70" w:type="dxa"/>
              <w:start w:w="80" w:type="dxa"/>
              <w:bottom w:w="70" w:type="dxa"/>
              <w:end w:w="80" w:type="dxa"/>
            </w:tcMar>
            <w:tcBorders>
              <w:top w:val="single" w:sz="4" w:color="FFFFFF"/>
              <w:left w:val="single" w:sz="4" w:color="FFFFFF"/>
              <w:bottom w:val="single" w:sz="4" w:color="FFFFFF"/>
              <w:right w:val="single" w:sz="4" w:color="FFFFFF"/>
            </w:tcBorders>
            <w:vAlign w:val="center"/>
          </w:tcPr>
          <w:p>
            <w:pPr>
              <w:spacing w:before="0" w:after="0" w:line="240" w:lineRule="auto"/>
            </w:pPr>
            <w:r>
              <w:rPr>
                <w:b/>
                <w:i w:val="0"/>
                <w:color w:val="FFFFFF"/>
                <w:sz w:val="16"/>
              </w:rPr>
              <w:t>Suggested wording</w:t>
            </w:r>
          </w:p>
        </w:tc>
      </w:tr>
      <w:tr>
        <w:trPr>
          <w:cantSplit/>
        </w:trPr>
        <w:tc>
          <w:tcPr>
            <w:tcW w:type="dxa" w:w="2015"/>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Opening</w:t>
            </w:r>
          </w:p>
        </w:tc>
        <w:tc>
          <w:tcPr>
            <w:tcW w:type="dxa" w:w="7343"/>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“You are not building today. You are deciding exactly what the chatbot should do, so Part 3 can focus on construction.”</w:t>
            </w:r>
          </w:p>
        </w:tc>
      </w:tr>
      <w:tr>
        <w:trPr>
          <w:cantSplit/>
        </w:trPr>
        <w:tc>
          <w:tcPr>
            <w:tcW w:type="dxa" w:w="2015"/>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Part 1 bridge</w:t>
            </w:r>
          </w:p>
        </w:tc>
        <w:tc>
          <w:tcPr>
            <w:tcW w:type="dxa" w:w="7343"/>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“Your principle names a quality. Your requirement must name a behaviour a user can notice.”</w:t>
            </w:r>
          </w:p>
        </w:tc>
      </w:tr>
      <w:tr>
        <w:trPr>
          <w:cantSplit/>
        </w:trPr>
        <w:tc>
          <w:tcPr>
            <w:tcW w:type="dxa" w:w="2015"/>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Questions → categories</w:t>
            </w:r>
          </w:p>
        </w:tc>
        <w:tc>
          <w:tcPr>
            <w:tcW w:type="dxa" w:w="7343"/>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“Questions are examples. Categories are the three kinds of help your chatbot will organise.”</w:t>
            </w:r>
          </w:p>
        </w:tc>
      </w:tr>
      <w:tr>
        <w:trPr>
          <w:cantSplit/>
        </w:trPr>
        <w:tc>
          <w:tcPr>
            <w:tcW w:type="dxa" w:w="2015"/>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Fallback / limitation</w:t>
            </w:r>
          </w:p>
        </w:tc>
        <w:tc>
          <w:tcPr>
            <w:tcW w:type="dxa" w:w="7343"/>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“Unclear input needs recovery. Outside-scope or sensitive input needs an honest limit and a safe next step.”</w:t>
            </w:r>
          </w:p>
        </w:tc>
      </w:tr>
      <w:tr>
        <w:trPr>
          <w:cantSplit/>
        </w:trPr>
        <w:tc>
          <w:tcPr>
            <w:tcW w:type="dxa" w:w="2015"/>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Handover</w:t>
            </w:r>
          </w:p>
        </w:tc>
        <w:tc>
          <w:tcPr>
            <w:tcW w:type="dxa" w:w="7343"/>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“Do not copy your work into another card. This worksheet is the build brief for Part 3.”</w:t>
            </w:r>
          </w:p>
        </w:tc>
      </w:tr>
    </w:tbl>
    <w:p>
      <w:pPr>
        <w:pStyle w:val="Heading2"/>
      </w:pPr>
      <w:r>
        <w:t>Four fast checkpoints</w:t>
      </w:r>
    </w:p>
    <w:tbl>
      <w:tblPr>
        <w:tblW w:type="auto" w:w="0"/>
        <w:jc w:val="center"/>
        <w:tblLayout w:type="fixed"/>
        <w:tblLook w:firstColumn="1" w:firstRow="1" w:lastColumn="0" w:lastRow="0" w:noHBand="0" w:noVBand="1" w:val="04A0"/>
      </w:tblPr>
      <w:tblGrid>
        <w:gridCol w:w="5018"/>
        <w:gridCol w:w="5018"/>
      </w:tblGrid>
      <w:tr>
        <w:trPr>
          <w:tblHeader w:val="true"/>
          <w:cantSplit/>
          <w:tblHeader w:val="true"/>
          <w:tblHeader w:val="true"/>
        </w:trPr>
        <w:tc>
          <w:tcPr>
            <w:tcW w:type="dxa" w:w="2232"/>
            <w:shd w:fill="1F4E79" w:val="clear"/>
            <w:tcMar>
              <w:top w:w="70" w:type="dxa"/>
              <w:start w:w="80" w:type="dxa"/>
              <w:bottom w:w="70" w:type="dxa"/>
              <w:end w:w="80" w:type="dxa"/>
            </w:tcMar>
            <w:tcBorders>
              <w:top w:val="single" w:sz="4" w:color="FFFFFF"/>
              <w:left w:val="single" w:sz="4" w:color="FFFFFF"/>
              <w:bottom w:val="single" w:sz="4" w:color="FFFFFF"/>
              <w:right w:val="single" w:sz="4" w:color="FFFFFF"/>
            </w:tcBorders>
            <w:vAlign w:val="center"/>
          </w:tcPr>
          <w:p>
            <w:pPr>
              <w:spacing w:before="0" w:after="0" w:line="240" w:lineRule="auto"/>
            </w:pPr>
            <w:r>
              <w:rPr>
                <w:b/>
                <w:i w:val="0"/>
                <w:color w:val="FFFFFF"/>
                <w:sz w:val="16"/>
              </w:rPr>
              <w:t>Check</w:t>
            </w:r>
          </w:p>
        </w:tc>
        <w:tc>
          <w:tcPr>
            <w:tcW w:type="dxa" w:w="7128"/>
            <w:shd w:fill="1F4E79" w:val="clear"/>
            <w:tcMar>
              <w:top w:w="70" w:type="dxa"/>
              <w:start w:w="80" w:type="dxa"/>
              <w:bottom w:w="70" w:type="dxa"/>
              <w:end w:w="80" w:type="dxa"/>
            </w:tcMar>
            <w:tcBorders>
              <w:top w:val="single" w:sz="4" w:color="FFFFFF"/>
              <w:left w:val="single" w:sz="4" w:color="FFFFFF"/>
              <w:bottom w:val="single" w:sz="4" w:color="FFFFFF"/>
              <w:right w:val="single" w:sz="4" w:color="FFFFFF"/>
            </w:tcBorders>
            <w:vAlign w:val="center"/>
          </w:tcPr>
          <w:p>
            <w:pPr>
              <w:spacing w:before="0" w:after="0" w:line="240" w:lineRule="auto"/>
            </w:pPr>
            <w:r>
              <w:rPr>
                <w:b/>
                <w:i w:val="0"/>
                <w:color w:val="FFFFFF"/>
                <w:sz w:val="16"/>
              </w:rPr>
              <w:t>Ready when...</w:t>
            </w:r>
          </w:p>
        </w:tc>
      </w:tr>
      <w:tr>
        <w:trPr>
          <w:cantSplit/>
        </w:trPr>
        <w:tc>
          <w:tcPr>
            <w:tcW w:type="dxa" w:w="2232"/>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Principle → requirement</w:t>
            </w:r>
          </w:p>
        </w:tc>
        <w:tc>
          <w:tcPr>
            <w:tcW w:type="dxa" w:w="7128"/>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The group can point to one exact planned feature, not only repeat “A good chatbot should...”.</w:t>
            </w:r>
          </w:p>
        </w:tc>
      </w:tr>
      <w:tr>
        <w:trPr>
          <w:cantSplit/>
        </w:trPr>
        <w:tc>
          <w:tcPr>
            <w:tcW w:type="dxa" w:w="2232"/>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Questions → categories</w:t>
            </w:r>
          </w:p>
        </w:tc>
        <w:tc>
          <w:tcPr>
            <w:tcW w:type="dxa" w:w="7128"/>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All four questions fit under three clearly different categories.</w:t>
            </w:r>
          </w:p>
        </w:tc>
      </w:tr>
      <w:tr>
        <w:trPr>
          <w:cantSplit/>
        </w:trPr>
        <w:tc>
          <w:tcPr>
            <w:tcW w:type="dxa" w:w="2232"/>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Recovery → limits</w:t>
            </w:r>
          </w:p>
        </w:tc>
        <w:tc>
          <w:tcPr>
            <w:tcW w:type="dxa" w:w="7128"/>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Fallback and limitation/safety have different triggers and different purposes.</w:t>
            </w:r>
          </w:p>
        </w:tc>
      </w:tr>
      <w:tr>
        <w:trPr>
          <w:cantSplit/>
        </w:trPr>
        <w:tc>
          <w:tcPr>
            <w:tcW w:type="dxa" w:w="2232"/>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Part 3 readiness</w:t>
            </w:r>
          </w:p>
        </w:tc>
        <w:tc>
          <w:tcPr>
            <w:tcW w:type="dxa" w:w="7128"/>
            <w:tcMar>
              <w:top w:w="70" w:type="dxa"/>
              <w:start w:w="80" w:type="dxa"/>
              <w:bottom w:w="70" w:type="dxa"/>
              <w:end w:w="80" w:type="dxa"/>
            </w:tcMar>
            <w:tcBorders>
              <w:top w:val="single" w:sz="3" w:color="C9D2DC"/>
              <w:left w:val="single" w:sz="3" w:color="C9D2DC"/>
              <w:bottom w:val="single" w:sz="3" w:color="C9D2DC"/>
              <w:right w:val="single" w:sz="3" w:color="C9D2DC"/>
            </w:tcBorders>
            <w:vAlign w:val="center"/>
          </w:tcPr>
          <w:p>
            <w:pPr>
              <w:spacing w:before="0" w:after="0" w:line="240" w:lineRule="auto"/>
            </w:pPr>
            <w:r>
              <w:rPr>
                <w:b w:val="0"/>
                <w:i w:val="0"/>
                <w:sz w:val="16"/>
              </w:rPr>
              <w:t>Another student could build directly from the worksheet without inventing categories or responses.</w:t>
            </w:r>
          </w:p>
        </w:tc>
      </w:tr>
    </w:tbl>
    <w:sectPr w:rsidR="00FC693F" w:rsidRPr="0006063C" w:rsidSect="00034616">
      <w:headerReference w:type="default" r:id="rId9"/>
      <w:footerReference w:type="default" r:id="rId10"/>
      <w:headerReference w:type="first" r:id="rId11"/>
      <w:headerReference w:type="even" r:id="rId12"/>
      <w:pgSz w:w="11909" w:h="16834"/>
      <w:pgMar w:top="792" w:right="936" w:bottom="792" w:left="936" w:header="288"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67085"/>
        <w:sz w:val="16"/>
      </w:rPr>
      <w:t>GenSTEAMers | Chatting with AI | PART 2</w:t>
    </w:r>
  </w:p>
  <w:p>
    <w:pPr>
      <w:jc w:val="right"/>
    </w:pPr>
    <w: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1325880" cy="391965"/>
          <wp:docPr id="1" name="Picture 1" descr="GenSTEAMers logo" title="GenSTEAMers logo"/>
          <wp:cNvGraphicFramePr>
            <a:graphicFrameLocks noChangeAspect="1"/>
          </wp:cNvGraphicFramePr>
          <a:graphic>
            <a:graphicData uri="http://schemas.openxmlformats.org/drawingml/2006/picture">
              <pic:pic>
                <pic:nvPicPr>
                  <pic:cNvPr id="0" name="gensteamers_logo.png"/>
                  <pic:cNvPicPr/>
                </pic:nvPicPr>
                <pic:blipFill>
                  <a:blip r:embed="rId1"/>
                  <a:stretch>
                    <a:fillRect/>
                  </a:stretch>
                </pic:blipFill>
                <pic:spPr>
                  <a:xfrm>
                    <a:off x="0" y="0"/>
                    <a:ext cx="1325880" cy="391965"/>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eastAsia="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ptos Display" w:hAnsi="Aptos Display" w:eastAsia="Aptos Display"/>
      <w:b/>
      <w:bCs/>
      <w:color w:val="0E4F6C"/>
      <w:sz w:val="30"/>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ptos Display" w:hAnsi="Aptos Display" w:eastAsia="Aptos Display"/>
      <w:b/>
      <w:bCs/>
      <w:color w:val="0E4F6C"/>
      <w:sz w:val="25"/>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ptos" w:hAnsi="Aptos" w:eastAsia="Aptos"/>
      <w:b/>
      <w:bCs/>
      <w:color w:val="0E4F6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40"/>
      <w:contextualSpacing/>
    </w:pPr>
    <w:rPr>
      <w:rFonts w:asciiTheme="majorHAnsi" w:eastAsiaTheme="majorEastAsia" w:hAnsiTheme="majorHAnsi" w:cstheme="majorBidi" w:ascii="Aptos Display" w:hAnsi="Aptos Display" w:eastAsia="Aptos Display"/>
      <w:b/>
      <w:color w:val="0E4F6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Walkthrough — PART 2 — Designing Chatbot Logic</dc:title>
  <dc:subject>GenSTEAMers | Chatting with AI | Full Pathway Part 2</dc:subject>
  <dc:creator>GenSTEAMers / EDUMOTIVA</dc:creator>
  <cp:keywords>GenSTEAMers, Chatting with AI, Part 2, teacher walkthrough, chatbot logic</cp:keywords>
  <dc:description/>
  <cp:lastModifiedBy>GenSTEAMers / EDUMOTIVA</cp:lastModifiedBy>
  <cp:revision>1</cp:revision>
  <dcterms:created xsi:type="dcterms:W3CDTF">2013-12-23T23:15:00Z</dcterms:created>
  <dcterms:modified xsi:type="dcterms:W3CDTF">2013-12-23T23:15:00Z</dcterms:modified>
  <cp:category>GenSTEAMers educational material</cp:category>
</cp:coreProperties>
</file>