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17320" cy="418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18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0" w:after="160" w:line="252" w:lineRule="auto"/>
        <w:jc w:val="left"/>
      </w:pPr>
      <w:r>
        <w:rPr>
          <w:rFonts w:ascii="Arial" w:hAnsi="Arial" w:eastAsia="Arial"/>
          <w:b w:val="0"/>
          <w:i w:val="0"/>
          <w:color w:val="0E4F6C"/>
          <w:sz w:val="48"/>
        </w:rPr>
        <w:t>Option B Student Build Card</w:t>
      </w:r>
    </w:p>
    <w:p>
      <w:pPr>
        <w:spacing w:before="0" w:after="140" w:line="252" w:lineRule="auto"/>
      </w:pPr>
      <w:r>
        <w:rPr>
          <w:rFonts w:ascii="Arial" w:hAnsi="Arial" w:eastAsia="Arial"/>
          <w:b/>
          <w:i w:val="0"/>
          <w:color w:val="0E4F6C"/>
          <w:sz w:val="22"/>
        </w:rPr>
        <w:t>School-approved GenAI setup | Use the locked Prompt Capsule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FF2CC" w:val="clear"/>
            <w:tcBorders>
              <w:top w:val="single" w:sz="8" w:color="D6B656"/>
              <w:left w:val="single" w:sz="8" w:color="D6B656"/>
              <w:bottom w:val="single" w:sz="8" w:color="D6B656"/>
              <w:right w:val="single" w:sz="8" w:color="D6B656"/>
              <w:insideH w:val="single" w:sz="8" w:color="D6B656"/>
              <w:insideV w:val="single" w:sz="8" w:color="D6B656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7F6000"/>
                <w:sz w:val="21"/>
              </w:rPr>
              <w:t>RULE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The GenAI environment follows your approved design. It does not create or improve the design for you. Use only fictional, non-sensitive information.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424"/>
      </w:tblGrid>
      <w:tr>
        <w:trPr>
          <w:tblHeader w:val="true"/>
        </w:trPr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Step</w:t>
            </w:r>
          </w:p>
        </w:tc>
        <w:tc>
          <w:tcPr>
            <w:tcW w:type="dxa" w:w="5256"/>
            <w:shd w:fill="1F4E79" w:val="clear"/>
            <w:tcBorders>
              <w:top w:val="single" w:sz="6" w:color="A6A6A6"/>
              <w:left w:val="single" w:sz="6" w:color="A6A6A6"/>
              <w:bottom w:val="single" w:sz="6" w:color="A6A6A6"/>
              <w:right w:val="single" w:sz="6" w:color="A6A6A6"/>
              <w:insideH w:val="single" w:sz="6" w:color="A6A6A6"/>
              <w:insideV w:val="single" w:sz="6" w:color="A6A6A6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Do this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 OPEN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Open the approved environment and the teacher-provided Prompt Capsule.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 COPY FROM PART 2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Fill name, target user, purpose, scope, categories 1–3, exact responses, fallback, limitation and Part 1 requirement.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3 DO NOT EXPAND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Leave the locked safety, privacy and “do not invent” rules unchanged.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4 CREATE / PASTE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Save the instructions in the prepared space, agent or guided chat, or paste the complete capsule.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5 SMOKE CHECK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Confirm that start, 1–3, 0/limits and other-input/fallback routes activate. Do not review quality.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6 REPAIR RULES ONLY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Repair missing or conflicting instructions. Reject suggestions that change your design.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7 SAVE ACCESS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Record the setup link or reproducible capsule method.</w:t>
            </w:r>
          </w:p>
        </w:tc>
      </w:tr>
      <w:tr>
        <w:trPr>
          <w:cantSplit/>
        </w:trPr>
        <w:tc>
          <w:tcPr>
            <w:tcW w:type="dxa" w:w="194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8 HAND OVER</w:t>
            </w:r>
          </w:p>
        </w:tc>
        <w:tc>
          <w:tcPr>
            <w:tcW w:type="dxa" w:w="8424"/>
            <w:shd w:fill="FFFFFF" w:val="clear"/>
            <w:tcBorders>
              <w:top w:val="single" w:sz="6" w:color="B7C9D6"/>
              <w:left w:val="single" w:sz="6" w:color="B7C9D6"/>
              <w:bottom w:val="single" w:sz="6" w:color="B7C9D6"/>
              <w:right w:val="single" w:sz="6" w:color="B7C9D6"/>
              <w:insideH w:val="single" w:sz="6" w:color="B7C9D6"/>
              <w:insideV w:val="single" w:sz="6" w:color="B7C9D6"/>
            </w:tcBorders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Complete the Part 4 Test Brief and mark readiness.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CE9CF" w:val="clear"/>
            <w:tcBorders>
              <w:top w:val="single" w:sz="8" w:color="E2A46B"/>
              <w:left w:val="single" w:sz="8" w:color="E2A46B"/>
              <w:bottom w:val="single" w:sz="8" w:color="E2A46B"/>
              <w:right w:val="single" w:sz="8" w:color="E2A46B"/>
              <w:insideH w:val="single" w:sz="8" w:color="E2A46B"/>
              <w:insideV w:val="single" w:sz="8" w:color="E2A46B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60" w:line="252" w:lineRule="auto"/>
            </w:pPr>
            <w:r>
              <w:rPr>
                <w:rFonts w:ascii="Arial" w:hAnsi="Arial" w:eastAsia="Arial"/>
                <w:b/>
                <w:i w:val="0"/>
                <w:color w:val="B56810"/>
                <w:sz w:val="21"/>
              </w:rPr>
              <w:t>Stop and ask the teacher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The model adds new facts, widens the scope, ignores limits, asks for personal data, or the setup cannot be saved/reproduced.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Option B — GenAI Build Card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