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 w:line="240" w:lineRule="auto"/>
        <w:ind w:left="0" w:right="0"/>
        <w:keepNext/>
      </w:pPr>
      <w:r>
        <w:rPr>
          <w:rFonts w:ascii="Arial" w:hAnsi="Arial" w:eastAsia="Arial"/>
          <w:b w:val="0"/>
          <w:i w:val="0"/>
          <w:color w:val="0E4F6C"/>
          <w:sz w:val="36"/>
        </w:rPr>
        <w:t>GenSTEAMers | Chatting with AI | Full Pathway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1F5C99" w:val="clea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26"/>
              </w:rPr>
              <w:t>OPTION C — Paper Independent Testing Card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>Complete low-tech route | Use with the labelled paper prototype, Part 3 Test Brief, Part 4 Independent Test and Review Record and Four Test Missions Card.</w:t>
            </w:r>
          </w:p>
        </w:tc>
      </w:tr>
    </w:tbl>
    <w:p>
      <w:pPr>
        <w:pStyle w:val="Heading3"/>
        <w:spacing w:before="80" w:after="60" w:line="240" w:lineRule="auto"/>
        <w:ind w:left="0" w:right="0"/>
        <w:keepNext/>
      </w:pPr>
      <w:r>
        <w:rPr>
          <w:rFonts w:ascii="Arial" w:hAnsi="Arial" w:eastAsia="Arial"/>
          <w:b/>
          <w:i w:val="0"/>
          <w:color w:val="0E4F6C"/>
          <w:sz w:val="22"/>
        </w:rPr>
        <w:t>Before the Part 1 Principle-Specific Test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cantSplit/>
          <w:tblHeader w:val="true"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Check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Ready when...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Complete pack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Start card, three supported routes, fallback, limitation/safety and Part 1 feature are present.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Operator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One independent student is assigned to follow the rules exactly.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Reset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All cards/arrows can return to the agreed starting state between missions.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Independence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The creator group is not operating or explaining its own prototype.</w:t>
            </w:r>
          </w:p>
        </w:tc>
      </w:tr>
    </w:tbl>
    <w:p>
      <w:pPr>
        <w:pStyle w:val="Heading3"/>
        <w:spacing w:before="80" w:after="60" w:line="240" w:lineRule="auto"/>
        <w:ind w:left="0" w:right="0"/>
        <w:keepNext/>
      </w:pPr>
      <w:r>
        <w:rPr>
          <w:rFonts w:ascii="Arial" w:hAnsi="Arial" w:eastAsia="Arial"/>
          <w:b/>
          <w:i w:val="0"/>
          <w:color w:val="0E4F6C"/>
          <w:sz w:val="22"/>
        </w:rPr>
        <w:t>Independent testing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Step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Tester action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Evidence reminder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Operator places the prototype at the start. Testers read only the visible instructions.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the start card / first visible choice.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Run the Part 1 Principle-Specific Test. Operator follows the exact matching rule or arrow.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the card/route reached and wording shown.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Reset, then run the Supported / Expected-Use Test.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the route and model response.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4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Reset, then run the Unclear-Input / Fallback Test.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fallback and recovery guidance.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Reset, then run the Outside-Scope / Limitation-Safety Test.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limitation/safety card and redirection.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Complete review and return the Part 4 Independent Test and Review Record.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Judge the designed rules, not the operator’s performance.</w:t>
            </w:r>
          </w:p>
        </w:tc>
      </w:tr>
    </w:tbl>
    <w:p>
      <w:pPr>
        <w:pStyle w:val="Heading3"/>
        <w:spacing w:before="80" w:after="60" w:line="240" w:lineRule="auto"/>
        <w:ind w:left="0" w:right="0"/>
        <w:keepNext/>
      </w:pPr>
      <w:r>
        <w:rPr>
          <w:rFonts w:ascii="Arial" w:hAnsi="Arial" w:eastAsia="Arial"/>
          <w:b/>
          <w:i w:val="0"/>
          <w:color w:val="0E4F6C"/>
          <w:sz w:val="22"/>
        </w:rPr>
        <w:t>Route-specific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cantSplit/>
          <w:tblHeader w:val="true"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Check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Rule followed exactly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Operator did not improvise wording or choose a preferred route.  ☐ Checked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Card / arrow evidence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the exact card label, arrow or response reached.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Operator effect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If hesitation or a mistaken manual route affected the result, mark Blocked and repeat once from the start.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cantSplit/>
        </w:trPr>
        <w:tc>
          <w:tcPr>
            <w:tcW w:type="dxa" w:w="10656"/>
            <w:shd w:fill="FCE4D6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Important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Test the chatbot design, not the confidence, speed, reading fluency or acting ability of the student operating it.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cantSplit/>
        </w:trPr>
        <w:tc>
          <w:tcPr>
            <w:tcW w:type="dxa" w:w="10656"/>
            <w:shd w:fill="FFF2CC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If the route is blocked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Restore the labelled pack from the Part 3 folder or teacher backup. If a required card/arrow is missing, record the blocked test; do not invent a replacement during Part 4.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cantSplit/>
        </w:trPr>
        <w:tc>
          <w:tcPr>
            <w:tcW w:type="dxa" w:w="10656"/>
            <w:shd w:fill="E2F0D9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Part 4 boundary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Record evidence and return the completed record. Do not edit, rebuild, rewrite or verify a changed prototype here.</w:t>
            </w:r>
          </w:p>
        </w:tc>
      </w:tr>
    </w:tbl>
    <w:sectPr>
      <w:headerReference w:type="default" r:id="rId9"/>
      <w:footerReference w:type="default" r:id="rId10"/>
      <w:pgSz w:w="12240" w:h="15840"/>
      <w:pgMar w:top="504" w:right="792" w:bottom="504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777777"/>
        <w:sz w:val="16"/>
      </w:rPr>
      <w:t>GenSTEAMers | Chatting with AI | PART 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06_CORE3_Scratch_Test_Decide_Confirm_Card</dc:title>
  <dc:subject>GenSTEAMers - Chatting with AI</dc:subject>
  <dc:creator/>
  <cp:keywords>GenSTEAMers, CORE 3, chatbot, peer testing, revision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