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0"/>
      </w:pPr>
      <w:r>
        <w:t>PART 5 Teacher Quick Walkthrough</w:t>
      </w:r>
    </w:p>
    <w:p>
      <w:pPr>
        <w:spacing w:after="40"/>
      </w:pPr>
      <w:r>
        <w:rPr>
          <w:rFonts w:ascii="Arial" w:hAnsi="Arial"/>
          <w:b/>
          <w:color w:val="0E4F6C"/>
          <w:sz w:val="16"/>
        </w:rPr>
        <w:t>Refining and Communicating | 60 min standard | 45 min compressed | Scratch default</w:t>
      </w:r>
    </w:p>
    <w:p>
      <w:pPr>
        <w:pStyle w:val="Heading2"/>
        <w:keepNext/>
        <w:spacing w:after="20"/>
      </w:pPr>
      <w:r>
        <w:t>Before students enter</w:t>
      </w:r>
    </w:p>
    <w:tbl>
      <w:tblPr>
        <w:tblStyle w:val="TableGrid"/>
        <w:tblW w:type="auto" w:w="0"/>
        <w:jc w:val="center"/>
        <w:tblLayout w:type="fixed"/>
        <w:tblLook w:firstColumn="1" w:firstRow="1" w:lastColumn="0" w:lastRow="0" w:noHBand="0" w:noVBand="1" w:val="04A0"/>
      </w:tblPr>
      <w:tblGrid>
        <w:gridCol w:w="1800"/>
        <w:gridCol w:w="4968"/>
        <w:gridCol w:w="3600"/>
      </w:tblGrid>
      <w:tr>
        <w:trPr>
          <w:tblHeader w:val="true"/>
        </w:trPr>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Check</w:t>
            </w:r>
          </w:p>
        </w:tc>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Ready condition</w:t>
            </w:r>
          </w:p>
        </w:tc>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If not ready</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Evidence package</w:t>
            </w:r>
          </w:p>
        </w:tc>
        <w:tc>
          <w:tcPr>
            <w:tcW w:type="dxa" w:w="49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Prototype + Part 3 Test Brief + completed Part 4 record together.</w:t>
            </w:r>
          </w:p>
        </w:tc>
        <w:tc>
          <w:tcPr>
            <w:tcW w:type="dxa" w:w="36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Locate them; do not reconstruct from memory.</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Part 4 status</w:t>
            </w:r>
          </w:p>
        </w:tc>
        <w:tc>
          <w:tcPr>
            <w:tcW w:type="dxa" w:w="49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Improve or Keep + reserved input + READY FOR PART 5.</w:t>
            </w:r>
          </w:p>
        </w:tc>
        <w:tc>
          <w:tcPr>
            <w:tcW w:type="dxa" w:w="36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RETEST NEEDED stops Part 5.</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Prototype state</w:t>
            </w:r>
          </w:p>
        </w:tc>
        <w:tc>
          <w:tcPr>
            <w:tcW w:type="dxa" w:w="49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Same tested state, opens/resets and can be saved or recorded.</w:t>
            </w:r>
          </w:p>
        </w:tc>
        <w:tc>
          <w:tcPr>
            <w:tcW w:type="dxa" w:w="36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Recover once. Use a paper artefact only if Part 4 tested it or an explicitly linked verified equivalent. Otherwise record BLOCKED AT ENTRY and postpone.</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Purpose freeze</w:t>
            </w:r>
          </w:p>
        </w:tc>
        <w:tc>
          <w:tcPr>
            <w:tcW w:type="dxa" w:w="49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Purpose, target user and scope visible.</w:t>
            </w:r>
          </w:p>
        </w:tc>
        <w:tc>
          <w:tcPr>
            <w:tcW w:type="dxa" w:w="36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Retrieve the Test Brief before editing.</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Route support</w:t>
            </w:r>
          </w:p>
        </w:tc>
        <w:tc>
          <w:tcPr>
            <w:tcW w:type="dxa" w:w="49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Only the relevant Part 5 Route Refinement and Save Guide route section is shared.</w:t>
            </w:r>
          </w:p>
        </w:tc>
        <w:tc>
          <w:tcPr>
            <w:tcW w:type="dxa" w:w="36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distribute irrelevant route instructions.</w:t>
            </w:r>
          </w:p>
        </w:tc>
      </w:tr>
    </w:tbl>
    <w:p>
      <w:pPr>
        <w:pStyle w:val="Heading2"/>
        <w:keepNext/>
        <w:spacing w:after="20"/>
      </w:pPr>
      <w:r>
        <w:t>60-minute flow</w:t>
      </w:r>
    </w:p>
    <w:tbl>
      <w:tblPr>
        <w:tblStyle w:val="TableGrid"/>
        <w:tblW w:type="auto" w:w="0"/>
        <w:jc w:val="center"/>
        <w:tblLayout w:type="fixed"/>
        <w:tblLook w:firstColumn="1" w:firstRow="1" w:lastColumn="0" w:lastRow="0" w:noHBand="0" w:noVBand="1" w:val="04A0"/>
      </w:tblPr>
      <w:tblGrid>
        <w:gridCol w:w="2880"/>
        <w:gridCol w:w="936"/>
        <w:gridCol w:w="6552"/>
      </w:tblGrid>
      <w:tr>
        <w:trPr>
          <w:tblHeader w:val="true"/>
        </w:trPr>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Phase</w:t>
            </w:r>
          </w:p>
        </w:tc>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Time</w:t>
            </w:r>
          </w:p>
        </w:tc>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Teacher focus</w:t>
            </w:r>
          </w:p>
        </w:tc>
      </w:tr>
      <w:tr>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Entry gate</w:t>
            </w:r>
          </w:p>
        </w:tc>
        <w:tc>
          <w:tcPr>
            <w:tcW w:type="dxa" w:w="93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5 min</w:t>
            </w:r>
          </w:p>
        </w:tc>
        <w:tc>
          <w:tcPr>
            <w:tcW w:type="dxa" w:w="6552"/>
            <w:shd w:fill="FFFFFF" w:val="clear"/>
            <w:vAlign w:val="center"/>
            <w:tcMar>
              <w:top w:w="55" w:type="dxa"/>
              <w:start w:w="75" w:type="dxa"/>
              <w:bottom w:w="55" w:type="dxa"/>
              <w:end w:w="75" w:type="dxa"/>
            </w:tcMar>
          </w:tcPr>
          <w:p>
            <w:pPr>
              <w:spacing w:before="0" w:after="0" w:line="240" w:lineRule="auto"/>
            </w:pPr>
            <w:r>
              <w:rPr>
                <w:rFonts w:ascii="Arial" w:hAnsi="Arial"/>
                <w:b w:val="0"/>
                <w:i w:val="0"/>
                <w:color w:val="000000"/>
                <w:sz w:val="13"/>
              </w:rPr>
              <w:t>Derive the Part 5 entry status from the literal Part 4 decision plus evidence completeness, reserved-input availability and prototype readiness. Only READY - IMPROVE / READY - KEEP continues.</w:t>
            </w:r>
          </w:p>
        </w:tc>
      </w:tr>
      <w:tr>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Evidence review</w:t>
            </w:r>
          </w:p>
        </w:tc>
        <w:tc>
          <w:tcPr>
            <w:tcW w:type="dxa" w:w="93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10 min</w:t>
            </w:r>
          </w:p>
        </w:tc>
        <w:tc>
          <w:tcPr>
            <w:tcW w:type="dxa" w:w="65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Exact T ID, input, behaviour, judgement and actionability.</w:t>
            </w:r>
          </w:p>
        </w:tc>
      </w:tr>
      <w:tr>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Plan bounded action</w:t>
            </w:r>
          </w:p>
        </w:tc>
        <w:tc>
          <w:tcPr>
            <w:tcW w:type="dxa" w:w="93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5 min</w:t>
            </w:r>
          </w:p>
        </w:tc>
        <w:tc>
          <w:tcPr>
            <w:tcW w:type="dxa" w:w="65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One feature; purpose/user/scope unchanged.</w:t>
            </w:r>
          </w:p>
        </w:tc>
      </w:tr>
      <w:tr>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Refine or Keep</w:t>
            </w:r>
          </w:p>
        </w:tc>
        <w:tc>
          <w:tcPr>
            <w:tcW w:type="dxa" w:w="93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15 min</w:t>
            </w:r>
          </w:p>
        </w:tc>
        <w:tc>
          <w:tcPr>
            <w:tcW w:type="dxa" w:w="65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One change only; no redesign.</w:t>
            </w:r>
          </w:p>
        </w:tc>
      </w:tr>
      <w:tr>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Matched verification</w:t>
            </w:r>
          </w:p>
        </w:tc>
        <w:tc>
          <w:tcPr>
            <w:tcW w:type="dxa" w:w="93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7 min</w:t>
            </w:r>
          </w:p>
        </w:tc>
        <w:tc>
          <w:tcPr>
            <w:tcW w:type="dxa" w:w="65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Reserved input, reset, actual behaviour, bounded status.</w:t>
            </w:r>
          </w:p>
        </w:tc>
      </w:tr>
      <w:tr>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Creator Statement</w:t>
            </w:r>
          </w:p>
        </w:tc>
        <w:tc>
          <w:tcPr>
            <w:tcW w:type="dxa" w:w="93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10 min</w:t>
            </w:r>
          </w:p>
        </w:tc>
        <w:tc>
          <w:tcPr>
            <w:tcW w:type="dxa" w:w="65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Evidence, result, limitation, human judgement.</w:t>
            </w:r>
          </w:p>
        </w:tc>
      </w:tr>
      <w:tr>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Principle + completion</w:t>
            </w:r>
          </w:p>
        </w:tc>
        <w:tc>
          <w:tcPr>
            <w:tcW w:type="dxa" w:w="93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5 min</w:t>
            </w:r>
          </w:p>
        </w:tc>
        <w:tc>
          <w:tcPr>
            <w:tcW w:type="dxa" w:w="65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Part 1 judgement and pathway check.</w:t>
            </w:r>
          </w:p>
        </w:tc>
      </w:tr>
      <w:tr>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Save / submit</w:t>
            </w:r>
          </w:p>
        </w:tc>
        <w:tc>
          <w:tcPr>
            <w:tcW w:type="dxa" w:w="93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3 min</w:t>
            </w:r>
          </w:p>
        </w:tc>
        <w:tc>
          <w:tcPr>
            <w:tcW w:type="dxa" w:w="65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Final state identifiable.</w:t>
            </w:r>
          </w:p>
        </w:tc>
      </w:tr>
    </w:tbl>
    <w:p>
      <w:pPr>
        <w:pStyle w:val="Heading2"/>
        <w:keepNext/>
        <w:spacing w:after="20"/>
      </w:pPr>
      <w:r>
        <w:t>Teacher language</w:t>
      </w:r>
    </w:p>
    <w:p>
      <w:pPr>
        <w:pStyle w:val="ListParagraph"/>
        <w:spacing w:after="30"/>
        <w:ind w:left="259" w:hanging="144"/>
      </w:pPr>
      <w:r>
        <w:rPr>
          <w:sz w:val="14"/>
        </w:rPr>
        <w:t>• “Which Part 4 test mission and observable behaviour support this action?”</w:t>
      </w:r>
    </w:p>
    <w:p>
      <w:pPr>
        <w:pStyle w:val="ListParagraph"/>
        <w:spacing w:after="30"/>
        <w:ind w:left="259" w:hanging="144"/>
      </w:pPr>
      <w:r>
        <w:rPr>
          <w:sz w:val="14"/>
        </w:rPr>
        <w:t>• “Which Verified Strength must this action preserve, and which Priority Review Finding are you checking against the evidence?”</w:t>
      </w:r>
    </w:p>
    <w:p>
      <w:pPr>
        <w:pStyle w:val="ListParagraph"/>
        <w:spacing w:after="30"/>
        <w:ind w:left="259" w:hanging="144"/>
      </w:pPr>
      <w:r>
        <w:rPr>
          <w:sz w:val="14"/>
        </w:rPr>
        <w:t>• “You may question the tester judgement; you may not change the evidence.”</w:t>
      </w:r>
    </w:p>
    <w:p>
      <w:pPr>
        <w:pStyle w:val="ListParagraph"/>
        <w:spacing w:after="30"/>
        <w:ind w:left="259" w:hanging="144"/>
      </w:pPr>
      <w:r>
        <w:rPr>
          <w:sz w:val="14"/>
        </w:rPr>
        <w:t>• “One bounded change is enough. Keep is valid when evidence supports it.”</w:t>
      </w:r>
    </w:p>
    <w:p>
      <w:pPr>
        <w:pStyle w:val="ListParagraph"/>
        <w:spacing w:after="30"/>
        <w:ind w:left="259" w:hanging="144"/>
      </w:pPr>
      <w:r>
        <w:rPr>
          <w:sz w:val="14"/>
        </w:rPr>
        <w:t>• “Does this preserve the purpose, target user and scope?”</w:t>
      </w:r>
    </w:p>
    <w:p>
      <w:pPr>
        <w:pStyle w:val="ListParagraph"/>
        <w:spacing w:after="30"/>
        <w:ind w:left="259" w:hanging="144"/>
      </w:pPr>
      <w:r>
        <w:rPr>
          <w:sz w:val="14"/>
        </w:rPr>
        <w:t>• “Use the reserved input exactly.”</w:t>
      </w:r>
    </w:p>
    <w:p>
      <w:pPr>
        <w:pStyle w:val="ListParagraph"/>
        <w:spacing w:after="30"/>
        <w:ind w:left="259" w:hanging="144"/>
      </w:pPr>
      <w:r>
        <w:rPr>
          <w:sz w:val="14"/>
        </w:rPr>
        <w:t>• “Partly improved, not improved or blocked is still evidence.”</w:t>
      </w:r>
    </w:p>
    <w:p>
      <w:pPr>
        <w:pStyle w:val="ListParagraph"/>
        <w:spacing w:after="30"/>
        <w:ind w:left="259" w:hanging="144"/>
      </w:pPr>
      <w:r>
        <w:rPr>
          <w:sz w:val="14"/>
        </w:rPr>
        <w:t>• “Name a remaining limitation or boundary; do not invent a defect.”</w:t>
      </w:r>
    </w:p>
    <w:tbl>
      <w:tblPr>
        <w:tblW w:type="auto" w:w="0"/>
        <w:jc w:val="center"/>
        <w:tblLook w:firstColumn="1" w:firstRow="1" w:lastColumn="0" w:lastRow="0" w:noHBand="0" w:noVBand="1" w:val="04A0"/>
      </w:tblPr>
      <w:tblGrid>
        <w:gridCol w:w="10512"/>
      </w:tblGrid>
      <w:tr>
        <w:trPr>
          <w:cantSplit/>
        </w:trPr>
        <w:tc>
          <w:tcPr>
            <w:tcW w:type="dxa" w:w="10512"/>
            <w:shd w:fill="FFF2CC" w:val="clear"/>
            <w:tcMar>
              <w:top w:w="55" w:type="dxa"/>
              <w:start w:w="75" w:type="dxa"/>
              <w:bottom w:w="55" w:type="dxa"/>
              <w:end w:w="75" w:type="dxa"/>
            </w:tcMar>
          </w:tcPr>
          <w:p>
            <w:pPr>
              <w:spacing w:before="0" w:after="20"/>
            </w:pPr>
            <w:r>
              <w:rPr>
                <w:rFonts w:ascii="Arial" w:hAnsi="Arial"/>
                <w:b/>
                <w:color w:val="0E4F6C"/>
                <w:sz w:val="14"/>
              </w:rPr>
              <w:t>Derived Part 5 entry status | Combine the literal Part 4 decision with the readiness checks. READY - IMPROVE or READY - KEEP -&gt; continue. RETEST NEEDED -&gt; complete missing Part 4 evidence. BLOCKED AT ENTRY -&gt; recover the tested state or postpone.</w:t>
            </w:r>
          </w:p>
        </w:tc>
      </w:tr>
    </w:tbl>
    <w:p>
      <w:r>
        <w:br w:type="page"/>
      </w:r>
    </w:p>
    <w:p>
      <w:pPr>
        <w:pStyle w:val="Heading2"/>
        <w:keepNext/>
        <w:spacing w:after="20"/>
      </w:pPr>
      <w:r>
        <w:t>Evidence-to-action protocol</w:t>
      </w:r>
    </w:p>
    <w:tbl>
      <w:tblPr>
        <w:tblStyle w:val="TableGrid"/>
        <w:tblW w:type="auto" w:w="0"/>
        <w:jc w:val="center"/>
        <w:tblLayout w:type="fixed"/>
        <w:tblLook w:firstColumn="1" w:firstRow="1" w:lastColumn="0" w:lastRow="0" w:noHBand="0" w:noVBand="1" w:val="04A0"/>
      </w:tblPr>
      <w:tblGrid>
        <w:gridCol w:w="3384"/>
        <w:gridCol w:w="6984"/>
      </w:tblGrid>
      <w:tr>
        <w:trPr>
          <w:tblHeader w:val="true"/>
        </w:trPr>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Ask</w:t>
            </w:r>
          </w:p>
        </w:tc>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Protect</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happened?</w:t>
            </w:r>
          </w:p>
        </w:tc>
        <w:tc>
          <w:tcPr>
            <w:tcW w:type="dxa" w:w="69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Exact input and observable behaviour are fixed evidence.</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did testers judge?</w:t>
            </w:r>
          </w:p>
        </w:tc>
        <w:tc>
          <w:tcPr>
            <w:tcW w:type="dxa" w:w="69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Interpretation may be supported, narrowed or rejected.</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can Part 5 responsibly do?</w:t>
            </w:r>
          </w:p>
        </w:tc>
        <w:tc>
          <w:tcPr>
            <w:tcW w:type="dxa" w:w="69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Improve one feature / Keep / disclose limitation / return for evidence.</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How will we know?</w:t>
            </w:r>
          </w:p>
        </w:tc>
        <w:tc>
          <w:tcPr>
            <w:tcW w:type="dxa" w:w="69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Use the reserved input and pre-state expected final behaviour.</w:t>
            </w:r>
          </w:p>
        </w:tc>
      </w:tr>
    </w:tbl>
    <w:p>
      <w:pPr>
        <w:pStyle w:val="Heading2"/>
        <w:keepNext/>
        <w:spacing w:after="20"/>
      </w:pPr>
      <w:r>
        <w:t>Verification outcomes</w:t>
      </w:r>
    </w:p>
    <w:tbl>
      <w:tblPr>
        <w:tblStyle w:val="TableGrid"/>
        <w:tblW w:type="auto" w:w="0"/>
        <w:jc w:val="center"/>
        <w:tblLayout w:type="fixed"/>
        <w:tblLook w:firstColumn="1" w:firstRow="1" w:lastColumn="0" w:lastRow="0" w:noHBand="0" w:noVBand="1" w:val="04A0"/>
      </w:tblPr>
      <w:tblGrid>
        <w:gridCol w:w="2520"/>
        <w:gridCol w:w="2520"/>
        <w:gridCol w:w="5328"/>
      </w:tblGrid>
      <w:tr>
        <w:trPr>
          <w:tblHeader w:val="true"/>
        </w:trPr>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After Improve</w:t>
            </w:r>
          </w:p>
        </w:tc>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After Keep</w:t>
            </w:r>
          </w:p>
        </w:tc>
        <w:tc>
          <w:tcPr>
            <w:tcW w:type="dxa" w:w="3504"/>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Teacher response</w:t>
            </w:r>
          </w:p>
        </w:tc>
      </w:tr>
      <w:tr>
        <w:tc>
          <w:tcPr>
            <w:tcW w:type="dxa" w:w="252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Improved</w:t>
            </w:r>
          </w:p>
        </w:tc>
        <w:tc>
          <w:tcPr>
            <w:tcW w:type="dxa" w:w="252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Confirmed</w:t>
            </w:r>
          </w:p>
        </w:tc>
        <w:tc>
          <w:tcPr>
            <w:tcW w:type="dxa" w:w="532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Complete communication and limitation statement.</w:t>
            </w:r>
          </w:p>
        </w:tc>
      </w:tr>
      <w:tr>
        <w:tc>
          <w:tcPr>
            <w:tcW w:type="dxa" w:w="252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Partly improved</w:t>
            </w:r>
          </w:p>
        </w:tc>
        <w:tc>
          <w:tcPr>
            <w:tcW w:type="dxa" w:w="252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w:t>
            </w:r>
          </w:p>
        </w:tc>
        <w:tc>
          <w:tcPr>
            <w:tcW w:type="dxa" w:w="532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Record what remains; no second canonical revision cycle.</w:t>
            </w:r>
          </w:p>
        </w:tc>
      </w:tr>
      <w:tr>
        <w:tc>
          <w:tcPr>
            <w:tcW w:type="dxa" w:w="252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Not improved</w:t>
            </w:r>
          </w:p>
        </w:tc>
        <w:tc>
          <w:tcPr>
            <w:tcW w:type="dxa" w:w="252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Not confirmed</w:t>
            </w:r>
          </w:p>
        </w:tc>
        <w:tc>
          <w:tcPr>
            <w:tcW w:type="dxa" w:w="532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Record honestly; state unresolved issue and next test.</w:t>
            </w:r>
          </w:p>
        </w:tc>
      </w:tr>
      <w:tr>
        <w:tc>
          <w:tcPr>
            <w:tcW w:type="dxa" w:w="252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Blocked</w:t>
            </w:r>
          </w:p>
        </w:tc>
        <w:tc>
          <w:tcPr>
            <w:tcW w:type="dxa" w:w="252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Blocked</w:t>
            </w:r>
          </w:p>
        </w:tc>
        <w:tc>
          <w:tcPr>
            <w:tcW w:type="dxa" w:w="532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claim success; preserve evidence and arrange recovery.</w:t>
            </w:r>
          </w:p>
        </w:tc>
      </w:tr>
    </w:tbl>
    <w:p>
      <w:pPr>
        <w:pStyle w:val="Heading2"/>
        <w:keepNext/>
        <w:spacing w:after="20"/>
      </w:pPr>
      <w:r>
        <w:t>45-minute compressed route</w:t>
      </w:r>
    </w:p>
    <w:tbl>
      <w:tblPr>
        <w:tblStyle w:val="TableGrid"/>
        <w:tblW w:type="auto" w:w="0"/>
        <w:jc w:val="center"/>
        <w:tblLayout w:type="fixed"/>
        <w:tblLook w:firstColumn="1" w:firstRow="1" w:lastColumn="0" w:lastRow="0" w:noHBand="0" w:noVBand="1" w:val="04A0"/>
      </w:tblPr>
      <w:tblGrid>
        <w:gridCol w:w="8352"/>
        <w:gridCol w:w="2016"/>
      </w:tblGrid>
      <w:tr>
        <w:trPr>
          <w:tblHeader w:val="true"/>
        </w:trPr>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Phase</w:t>
            </w:r>
          </w:p>
        </w:tc>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Time</w:t>
            </w:r>
          </w:p>
        </w:tc>
      </w:tr>
      <w:tr>
        <w:tc>
          <w:tcPr>
            <w:tcW w:type="dxa" w:w="83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Entry gate + evidence reconnection</w:t>
            </w:r>
          </w:p>
        </w:tc>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4 min</w:t>
            </w:r>
          </w:p>
        </w:tc>
      </w:tr>
      <w:tr>
        <w:tc>
          <w:tcPr>
            <w:tcW w:type="dxa" w:w="83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Evidence review + action confirmation</w:t>
            </w:r>
          </w:p>
        </w:tc>
        <w:tc>
          <w:tcPr>
            <w:tcW w:type="dxa" w:w="20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7 min</w:t>
            </w:r>
          </w:p>
        </w:tc>
      </w:tr>
      <w:tr>
        <w:tc>
          <w:tcPr>
            <w:tcW w:type="dxa" w:w="83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Refine / Keep</w:t>
            </w:r>
          </w:p>
        </w:tc>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12 min</w:t>
            </w:r>
          </w:p>
        </w:tc>
      </w:tr>
      <w:tr>
        <w:tc>
          <w:tcPr>
            <w:tcW w:type="dxa" w:w="83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Matched verification</w:t>
            </w:r>
          </w:p>
        </w:tc>
        <w:tc>
          <w:tcPr>
            <w:tcW w:type="dxa" w:w="20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5 min</w:t>
            </w:r>
          </w:p>
        </w:tc>
      </w:tr>
      <w:tr>
        <w:tc>
          <w:tcPr>
            <w:tcW w:type="dxa" w:w="83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Creator Statement + Part 1 principle</w:t>
            </w:r>
          </w:p>
        </w:tc>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10 min</w:t>
            </w:r>
          </w:p>
        </w:tc>
      </w:tr>
      <w:tr>
        <w:tc>
          <w:tcPr>
            <w:tcW w:type="dxa" w:w="83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Save / submit</w:t>
            </w:r>
          </w:p>
        </w:tc>
        <w:tc>
          <w:tcPr>
            <w:tcW w:type="dxa" w:w="20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4 min</w:t>
            </w:r>
          </w:p>
        </w:tc>
      </w:tr>
      <w:tr>
        <w:tc>
          <w:tcPr>
            <w:tcW w:type="dxa" w:w="83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Protected buffer</w:t>
            </w:r>
          </w:p>
        </w:tc>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3 min</w:t>
            </w:r>
          </w:p>
        </w:tc>
      </w:tr>
    </w:tbl>
    <w:tbl>
      <w:tblPr>
        <w:tblW w:type="auto" w:w="0"/>
        <w:jc w:val="center"/>
        <w:tblLook w:firstColumn="1" w:firstRow="1" w:lastColumn="0" w:lastRow="0" w:noHBand="0" w:noVBand="1" w:val="04A0"/>
      </w:tblPr>
      <w:tblGrid>
        <w:gridCol w:w="10512"/>
      </w:tblGrid>
      <w:tr>
        <w:trPr>
          <w:cantSplit/>
        </w:trPr>
        <w:tc>
          <w:tcPr>
            <w:tcW w:type="dxa" w:w="10512"/>
            <w:shd w:fill="FFF2CC" w:val="clear"/>
            <w:tcMar>
              <w:top w:w="55" w:type="dxa"/>
              <w:start w:w="75" w:type="dxa"/>
              <w:bottom w:w="55" w:type="dxa"/>
              <w:end w:w="75" w:type="dxa"/>
            </w:tcMar>
          </w:tcPr>
          <w:p>
            <w:pPr>
              <w:spacing w:before="0" w:after="20"/>
            </w:pPr>
            <w:r/>
            <w:r>
              <w:rPr>
                <w:rFonts w:ascii="Arial" w:hAnsi="Arial"/>
                <w:b/>
                <w:color w:val="0E4F6C"/>
                <w:sz w:val="13"/>
              </w:rPr>
              <w:t>Compressed-route conditions</w:t>
            </w:r>
          </w:p>
          <w:p>
            <w:pPr>
              <w:spacing w:before="0" w:after="0"/>
            </w:pPr>
            <w:r>
              <w:rPr>
                <w:rFonts w:ascii="Arial" w:hAnsi="Arial"/>
                <w:b w:val="0"/>
                <w:color w:val="000000"/>
                <w:sz w:val="13"/>
              </w:rPr>
              <w:t>Complete handover, pre-opened prototypes, one prepared route, no optional GenAI, no second revision cycle and no presentation-design task. Verification, limitation disclosure and saving remain mandatory.</w:t>
            </w:r>
          </w:p>
        </w:tc>
      </w:tr>
    </w:tbl>
    <w:p>
      <w:pPr>
        <w:pStyle w:val="Heading2"/>
        <w:keepNext/>
        <w:spacing w:after="20"/>
      </w:pPr>
      <w:r>
        <w:t>Pressure points</w:t>
      </w:r>
    </w:p>
    <w:tbl>
      <w:tblPr>
        <w:tblStyle w:val="TableGrid"/>
        <w:tblW w:type="auto" w:w="0"/>
        <w:jc w:val="center"/>
        <w:tblLayout w:type="fixed"/>
        <w:tblLook w:firstColumn="1" w:firstRow="1" w:lastColumn="0" w:lastRow="0" w:noHBand="0" w:noVBand="1" w:val="04A0"/>
      </w:tblPr>
      <w:tblGrid>
        <w:gridCol w:w="3024"/>
        <w:gridCol w:w="7344"/>
      </w:tblGrid>
      <w:tr>
        <w:trPr>
          <w:tblHeader w:val="true"/>
        </w:trPr>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Risk</w:t>
            </w:r>
          </w:p>
        </w:tc>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Immediate response</w:t>
            </w:r>
          </w:p>
        </w:tc>
      </w:tr>
      <w:tr>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Several revisions</w:t>
            </w:r>
          </w:p>
        </w:tc>
        <w:tc>
          <w:tcPr>
            <w:tcW w:type="dxa" w:w="734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Return to one T ID and one reserved input.</w:t>
            </w:r>
          </w:p>
        </w:tc>
      </w:tr>
      <w:tr>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Cosmetic change</w:t>
            </w:r>
          </w:p>
        </w:tc>
        <w:tc>
          <w:tcPr>
            <w:tcW w:type="dxa" w:w="734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Ask which observed behaviour creates a learning-relevant problem.</w:t>
            </w:r>
          </w:p>
        </w:tc>
      </w:tr>
      <w:tr>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New easier input</w:t>
            </w:r>
          </w:p>
        </w:tc>
        <w:tc>
          <w:tcPr>
            <w:tcW w:type="dxa" w:w="734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Copy the Part 4-reserved input exactly.</w:t>
            </w:r>
          </w:p>
        </w:tc>
      </w:tr>
      <w:tr>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Failed verification</w:t>
            </w:r>
          </w:p>
        </w:tc>
        <w:tc>
          <w:tcPr>
            <w:tcW w:type="dxa" w:w="734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Record status and limitation; do not keep redesigning.</w:t>
            </w:r>
          </w:p>
        </w:tc>
      </w:tr>
      <w:tr>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Broad bias/safety claim</w:t>
            </w:r>
          </w:p>
        </w:tc>
        <w:tc>
          <w:tcPr>
            <w:tcW w:type="dxa" w:w="734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Use bounded language tied to the tests.</w:t>
            </w:r>
          </w:p>
        </w:tc>
      </w:tr>
      <w:tr>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Blank limitation</w:t>
            </w:r>
          </w:p>
        </w:tc>
        <w:tc>
          <w:tcPr>
            <w:tcW w:type="dxa" w:w="734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Name a boundary, untested condition, technical constraint or human-judgement need.</w:t>
            </w:r>
          </w:p>
        </w:tc>
      </w:tr>
    </w:tbl>
    <w:p>
      <w:pPr>
        <w:pStyle w:val="Heading2"/>
        <w:keepNext/>
        <w:spacing w:after="20"/>
      </w:pPr>
      <w:r>
        <w:t>Optional GenAI gate</w:t>
      </w:r>
    </w:p>
    <w:tbl>
      <w:tblPr>
        <w:tblW w:type="auto" w:w="0"/>
        <w:jc w:val="center"/>
        <w:tblLook w:firstColumn="1" w:firstRow="1" w:lastColumn="0" w:lastRow="0" w:noHBand="0" w:noVBand="1" w:val="04A0"/>
      </w:tblPr>
      <w:tblGrid>
        <w:gridCol w:w="10512"/>
      </w:tblGrid>
      <w:tr>
        <w:trPr>
          <w:cantSplit/>
        </w:trPr>
        <w:tc>
          <w:tcPr>
            <w:tcW w:type="dxa" w:w="10512"/>
            <w:shd w:fill="E2F0D9" w:val="clear"/>
            <w:tcMar>
              <w:top w:w="55" w:type="dxa"/>
              <w:start w:w="75" w:type="dxa"/>
              <w:bottom w:w="55" w:type="dxa"/>
              <w:end w:w="75" w:type="dxa"/>
            </w:tcMar>
          </w:tcPr>
          <w:p>
            <w:pPr>
              <w:spacing w:before="0" w:after="20"/>
            </w:pPr>
            <w:r/>
            <w:r>
              <w:rPr>
                <w:rFonts w:ascii="Arial" w:hAnsi="Arial"/>
                <w:b/>
                <w:color w:val="0E4F6C"/>
                <w:sz w:val="13"/>
              </w:rPr>
              <w:t>Human-first</w:t>
            </w:r>
          </w:p>
          <w:p>
            <w:pPr>
              <w:spacing w:before="0" w:after="0"/>
            </w:pPr>
            <w:r>
              <w:rPr>
                <w:rFonts w:ascii="Arial" w:hAnsi="Arial"/>
                <w:b w:val="0"/>
                <w:color w:val="000000"/>
                <w:sz w:val="13"/>
              </w:rPr>
              <w:t>Students must first review evidence, choose the action and explain why. GenAI may offer at most two implementation options or check for missing evidence in the Creator Statement. It may not choose, judge verification or write the final content wholesale.</w:t>
            </w:r>
          </w:p>
        </w:tc>
      </w:tr>
    </w:tbl>
    <w:p>
      <w:pPr>
        <w:pStyle w:val="Heading2"/>
        <w:keepNext/>
        <w:spacing w:after="20"/>
      </w:pPr>
      <w:r>
        <w:t>End-of-Part 5 submission</w:t>
      </w:r>
    </w:p>
    <w:tbl>
      <w:tblPr>
        <w:tblStyle w:val="TableGrid"/>
        <w:tblW w:type="auto" w:w="0"/>
        <w:jc w:val="center"/>
        <w:tblLayout w:type="fixed"/>
        <w:tblLook w:firstColumn="1" w:firstRow="1" w:lastColumn="0" w:lastRow="0" w:noHBand="0" w:noVBand="1" w:val="04A0"/>
      </w:tblPr>
      <w:tblGrid>
        <w:gridCol w:w="2880"/>
        <w:gridCol w:w="7488"/>
      </w:tblGrid>
      <w:tr>
        <w:trPr>
          <w:tblHeader w:val="true"/>
        </w:trPr>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Collect</w:t>
            </w:r>
          </w:p>
        </w:tc>
        <w:tc>
          <w:tcPr>
            <w:tcW w:type="dxa" w:w="5256"/>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Confirm</w:t>
            </w:r>
          </w:p>
        </w:tc>
      </w:tr>
      <w:tr>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Completed Part 5 Refinement, Verification and Completion Record</w:t>
            </w:r>
          </w:p>
        </w:tc>
        <w:tc>
          <w:tcPr>
            <w:tcW w:type="dxa" w:w="74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Entry gate, action, matched verification, limitation, Creator Statement and completion check.</w:t>
            </w:r>
          </w:p>
        </w:tc>
      </w:tr>
      <w:tr>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Final prototype</w:t>
            </w:r>
          </w:p>
        </w:tc>
        <w:tc>
          <w:tcPr>
            <w:tcW w:type="dxa" w:w="74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Saved final Scratch/GenAI state or complete final paper sequence.</w:t>
            </w:r>
          </w:p>
        </w:tc>
      </w:tr>
      <w:tr>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Evidence package</w:t>
            </w:r>
          </w:p>
        </w:tc>
        <w:tc>
          <w:tcPr>
            <w:tcW w:type="dxa" w:w="74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Part 3 Test Brief and Part 4 record remain with the prototype.</w:t>
            </w:r>
          </w:p>
        </w:tc>
      </w:tr>
      <w:tr>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Claim boundary</w:t>
            </w:r>
          </w:p>
        </w:tc>
        <w:tc>
          <w:tcPr>
            <w:tcW w:type="dxa" w:w="74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No claim of full correctness, safety, fairness or real-user validation.</w:t>
            </w:r>
          </w:p>
        </w:tc>
      </w:tr>
    </w:tbl>
    <w:sectPr>
      <w:headerReference w:type="default" r:id="rId9"/>
      <w:footerReference w:type="default" r:id="rId10"/>
      <w:headerReference w:type="first" r:id="rId11"/>
      <w:footerReference w:type="first" r:id="rId12"/>
      <w:headerReference w:type="even" r:id="rId13"/>
      <w:footerReference w:type="even" r:id="rId14"/>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777777"/>
        <w:sz w:val="16"/>
      </w:rPr>
      <w:t>GenSTEAMers | Chatting with AI | PART 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5 Teacher Quick Walkthrough</dc:title>
  <dc:subject>GenSTEAMers | Chatting with AI | Full Pathway Part 5</dc:subject>
  <dc:creator/>
  <cp:keywords>GenSTEAMers, Chatting with AI, Full Pathway, Part 5, refinement, matched verification</cp:keywords>
  <dc:description/>
  <cp:lastModifiedBy/>
  <cp:revision>1</cp:revision>
  <dcterms:created xsi:type="dcterms:W3CDTF">2013-12-23T23:15:00Z</dcterms:created>
  <dcterms:modified xsi:type="dcterms:W3CDTF">2026-07-22T18:23:02Z</dcterms:modified>
  <cp:category>GenSTEAMers educational material</cp:category>
</cp:coreProperties>
</file>