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40" w:line="240" w:lineRule="auto"/>
        <w:ind w:left="0" w:right="0"/>
        <w:keepNext/>
      </w:pPr>
      <w:r>
        <w:rPr>
          <w:rFonts w:ascii="Arial" w:hAnsi="Arial" w:eastAsia="Arial"/>
          <w:b w:val="0"/>
          <w:i w:val="0"/>
          <w:color w:val="0E4F6C"/>
          <w:sz w:val="36"/>
        </w:rPr>
        <w:t>GenSTEAMers | Chatting with AI | Full Pathway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c>
          <w:tcPr>
            <w:tcW w:type="dxa" w:w="10656"/>
            <w:shd w:fill="1F5C99" w:val="clea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2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26"/>
              </w:rPr>
              <w:t>OPTION B — School-Approved GenAI Independent Testing Card</w:t>
            </w:r>
          </w:p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6"/>
              </w:rPr>
              <w:t>Conditional route | Use only with local approval, advance teacher testing and the exact Part 3 setup.</w:t>
            </w:r>
          </w:p>
        </w:tc>
      </w:tr>
    </w:tbl>
    <w:p>
      <w:pPr>
        <w:pStyle w:val="Heading3"/>
        <w:spacing w:before="80" w:after="60" w:line="240" w:lineRule="auto"/>
        <w:ind w:left="0" w:right="0"/>
        <w:keepNext/>
      </w:pPr>
      <w:r>
        <w:rPr>
          <w:rFonts w:ascii="Arial" w:hAnsi="Arial" w:eastAsia="Arial"/>
          <w:b/>
          <w:i w:val="0"/>
          <w:color w:val="0E4F6C"/>
          <w:sz w:val="22"/>
        </w:rPr>
        <w:t>Before the Part 1 Principle-Specific Test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cantSplit/>
          <w:tblHeader w:val="true"/>
        </w:trPr>
        <w:tc>
          <w:tcPr>
            <w:tcW w:type="dxa" w:w="255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Check</w:t>
            </w:r>
          </w:p>
        </w:tc>
        <w:tc>
          <w:tcPr>
            <w:tcW w:type="dxa" w:w="70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Ready when...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Approval</w:t>
            </w:r>
          </w:p>
        </w:tc>
        <w:tc>
          <w:tcPr>
            <w:tcW w:type="dxa" w:w="70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The selected environment is approved for this class and age group.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Setup</w:t>
            </w:r>
          </w:p>
        </w:tc>
        <w:tc>
          <w:tcPr>
            <w:tcW w:type="dxa" w:w="70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The exact Part 3 Prompt Capsule / controlled setup is loaded and teacher-tested.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Privacy</w:t>
            </w:r>
          </w:p>
        </w:tc>
        <w:tc>
          <w:tcPr>
            <w:tcW w:type="dxa" w:w="70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Prompts and records use no personal, private or sensitive information.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Access</w:t>
            </w:r>
          </w:p>
        </w:tc>
        <w:tc>
          <w:tcPr>
            <w:tcW w:type="dxa" w:w="70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The tester can start a fresh interaction or clear context between missions.</w:t>
            </w:r>
          </w:p>
        </w:tc>
      </w:tr>
    </w:tbl>
    <w:p>
      <w:pPr>
        <w:pStyle w:val="Heading3"/>
        <w:spacing w:before="80" w:after="60" w:line="240" w:lineRule="auto"/>
        <w:ind w:left="0" w:right="0"/>
        <w:keepNext/>
      </w:pPr>
      <w:r>
        <w:rPr>
          <w:rFonts w:ascii="Arial" w:hAnsi="Arial" w:eastAsia="Arial"/>
          <w:b/>
          <w:i w:val="0"/>
          <w:color w:val="0E4F6C"/>
          <w:sz w:val="22"/>
        </w:rPr>
        <w:t>Independent testing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cantSplit/>
          <w:tblHeader w:val="true"/>
        </w:trPr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Step</w:t>
            </w:r>
          </w:p>
        </w:tc>
        <w:tc>
          <w:tcPr>
            <w:tcW w:type="dxa" w:w="51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Tester action</w:t>
            </w:r>
          </w:p>
        </w:tc>
        <w:tc>
          <w:tcPr>
            <w:tcW w:type="dxa" w:w="36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Evidence reminder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tcW w:type="dxa" w:w="51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Open the approved setup. Do not change the Prompt Capsule or hidden instructions.</w:t>
            </w:r>
          </w:p>
        </w:tc>
        <w:tc>
          <w:tcPr>
            <w:tcW w:type="dxa" w:w="36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Record the visible start instruction or first response.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tcW w:type="dxa" w:w="51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Run the Part 1 Principle-Specific Test exactly as transferred.</w:t>
            </w:r>
          </w:p>
        </w:tc>
        <w:tc>
          <w:tcPr>
            <w:tcW w:type="dxa" w:w="36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Copy or accurately record the actual generated response.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3</w:t>
            </w:r>
          </w:p>
        </w:tc>
        <w:tc>
          <w:tcPr>
            <w:tcW w:type="dxa" w:w="51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Start fresh, then run the Supported / Expected-Use Test.</w:t>
            </w:r>
          </w:p>
        </w:tc>
        <w:tc>
          <w:tcPr>
            <w:tcW w:type="dxa" w:w="36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Record whether the response follows the declared category/logic.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4</w:t>
            </w:r>
          </w:p>
        </w:tc>
        <w:tc>
          <w:tcPr>
            <w:tcW w:type="dxa" w:w="51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Start fresh, then run the Unclear-Input / Fallback Test.</w:t>
            </w:r>
          </w:p>
        </w:tc>
        <w:tc>
          <w:tcPr>
            <w:tcW w:type="dxa" w:w="36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Record recovery guidance and any invented content.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5</w:t>
            </w:r>
          </w:p>
        </w:tc>
        <w:tc>
          <w:tcPr>
            <w:tcW w:type="dxa" w:w="51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Start fresh, then run the Outside-Scope / Limitation-Safety Test.</w:t>
            </w:r>
          </w:p>
        </w:tc>
        <w:tc>
          <w:tcPr>
            <w:tcW w:type="dxa" w:w="36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Record limit statement, redirection and any scope expansion.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6</w:t>
            </w:r>
          </w:p>
        </w:tc>
        <w:tc>
          <w:tcPr>
            <w:tcW w:type="dxa" w:w="51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Complete review and return the Part 4 Independent Test and Review Record.</w:t>
            </w:r>
          </w:p>
        </w:tc>
        <w:tc>
          <w:tcPr>
            <w:tcW w:type="dxa" w:w="36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Do not ask GenAI to grade itself or propose a rewrite.</w:t>
            </w:r>
          </w:p>
        </w:tc>
      </w:tr>
    </w:tbl>
    <w:p>
      <w:pPr>
        <w:pStyle w:val="Heading3"/>
        <w:spacing w:before="80" w:after="60" w:line="240" w:lineRule="auto"/>
        <w:ind w:left="0" w:right="0"/>
        <w:keepNext/>
      </w:pPr>
      <w:r>
        <w:rPr>
          <w:rFonts w:ascii="Arial" w:hAnsi="Arial" w:eastAsia="Arial"/>
          <w:b/>
          <w:i w:val="0"/>
          <w:color w:val="0E4F6C"/>
          <w:sz w:val="22"/>
        </w:rPr>
        <w:t>Route-specific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cantSplit/>
          <w:tblHeader w:val="true"/>
        </w:trPr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Check</w:t>
            </w:r>
          </w:p>
        </w:tc>
        <w:tc>
          <w:tcPr>
            <w:tcW w:type="dxa" w:w="62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Logic fidelity</w:t>
            </w:r>
          </w:p>
        </w:tc>
        <w:tc>
          <w:tcPr>
            <w:tcW w:type="dxa" w:w="62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Did the environment enact the exact designed logic?  ☐ Yes  ☐ Partly  ☐ No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Invented / expanded content</w:t>
            </w:r>
          </w:p>
        </w:tc>
        <w:tc>
          <w:tcPr>
            <w:tcW w:type="dxa" w:w="62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Did it add information, categories, advice or claims not approved in Part 2/3? Record the exact example.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Response variability</w:t>
            </w:r>
          </w:p>
        </w:tc>
        <w:tc>
          <w:tcPr>
            <w:tcW w:type="dxa" w:w="62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If the same input changes, record what happened; do not repeatedly prompt until a preferred answer appears.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cantSplit/>
        </w:trPr>
        <w:tc>
          <w:tcPr>
            <w:tcW w:type="dxa" w:w="10656"/>
            <w:shd w:fill="FCE4D6" w:val="clear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9FBAD0"/>
              <w:left w:val="single" w:sz="5" w:color="9FBAD0"/>
              <w:bottom w:val="single" w:sz="5" w:color="9FBAD0"/>
              <w:right w:val="single" w:sz="5" w:color="9FBAD0"/>
            </w:tcBorders>
          </w:tcPr>
          <w:p>
            <w:pPr>
              <w:spacing w:before="0" w:after="2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0E4F6C"/>
                <w:sz w:val="15"/>
              </w:rPr>
              <w:t>Important</w:t>
            </w:r>
          </w:p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The GenAI prototype is the object being tested. Optional GenAI evidence critique is a separate later step and cannot be used to create the test findings.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cantSplit/>
        </w:trPr>
        <w:tc>
          <w:tcPr>
            <w:tcW w:type="dxa" w:w="10656"/>
            <w:shd w:fill="FFF2CC" w:val="clear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9FBAD0"/>
              <w:left w:val="single" w:sz="5" w:color="9FBAD0"/>
              <w:bottom w:val="single" w:sz="5" w:color="9FBAD0"/>
              <w:right w:val="single" w:sz="5" w:color="9FBAD0"/>
            </w:tcBorders>
          </w:tcPr>
          <w:p>
            <w:pPr>
              <w:spacing w:before="0" w:after="2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0E4F6C"/>
                <w:sz w:val="15"/>
              </w:rPr>
              <w:t>If the route is blocked</w:t>
            </w:r>
          </w:p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Stop the digital test and record the access/setup block. Use a paper prototype only if it was completed and verified against the same prototype state before Part 4; otherwise mark the test Blocked and select RETEST NEEDED. Do not rebuild the setup during Part 4.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cantSplit/>
        </w:trPr>
        <w:tc>
          <w:tcPr>
            <w:tcW w:type="dxa" w:w="10656"/>
            <w:shd w:fill="E2F0D9" w:val="clear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9FBAD0"/>
              <w:left w:val="single" w:sz="5" w:color="9FBAD0"/>
              <w:bottom w:val="single" w:sz="5" w:color="9FBAD0"/>
              <w:right w:val="single" w:sz="5" w:color="9FBAD0"/>
            </w:tcBorders>
          </w:tcPr>
          <w:p>
            <w:pPr>
              <w:spacing w:before="0" w:after="2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0E4F6C"/>
                <w:sz w:val="15"/>
              </w:rPr>
              <w:t>Part 4 boundary</w:t>
            </w:r>
          </w:p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Record evidence and return the completed record. Do not edit, rebuild, rewrite or verify a changed prototype here.</w:t>
            </w:r>
          </w:p>
        </w:tc>
      </w:tr>
    </w:tbl>
    <w:sectPr>
      <w:headerReference w:type="default" r:id="rId9"/>
      <w:footerReference w:type="default" r:id="rId10"/>
      <w:headerReference w:type="first" r:id="rId11"/>
      <w:headerReference w:type="even" r:id="rId12"/>
      <w:footerReference w:type="first" r:id="rId13"/>
      <w:footerReference w:type="even" r:id="rId14"/>
      <w:pgSz w:w="12240" w:h="15840"/>
      <w:pgMar w:top="504" w:right="792" w:bottom="504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rial" w:hAnsi="Arial"/>
        <w:color w:val="777777"/>
        <w:sz w:val="16"/>
      </w:rPr>
      <w:t>GenSTEAMers | Chatting with AI | PART 4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footer" Target="footer2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06_CORE3_Scratch_Test_Decide_Confirm_Card</dc:title>
  <dc:subject>GenSTEAMers - Chatting with AI</dc:subject>
  <dc:creator/>
  <cp:keywords>GenSTEAMers, CORE 3, chatbot, peer testing, revision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