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keepNext/>
      </w:pPr>
      <w:r>
        <w:t>CORE 3 Teacher Quick Walkthrough</w:t>
      </w:r>
    </w:p>
    <w:tbl>
      <w:tblPr>
        <w:tblStyle w:val="3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D0063" w14:paraId="1BD8086E" w14:textId="77777777">
        <w:trPr>
          <w:cantSplit/>
          <w:trHeight w:val="8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5C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884DC" w14:textId="77777777" w:rsidR="009D0063" w:rsidRDefault="00000000">
            <w:pPr>
              <w:pStyle w:val="2"/>
              <w:rPr>
                <w:rFonts w:ascii="IBM Plex Sans" w:eastAsia="IBM Plex Sans" w:hAnsi="IBM Plex Sans" w:cs="IBM Plex Sans"/>
                <w:color w:val="E6F1FB"/>
                <w:lang w:val="en-US"/>
              </w:rPr>
            </w:pPr>
            <w:bookmarkStart w:id="0" w:name="_a16nl490uf73" w:colFirst="0" w:colLast="0"/>
            <w:bookmarkEnd w:id="0"/>
            <w:r>
              <w:rPr>
                <w:rFonts w:ascii="IBM Plex Sans" w:eastAsia="IBM Plex Sans" w:hAnsi="IBM Plex Sans" w:cs="IBM Plex Sans"/>
                <w:color w:val="E6F1FB"/>
              </w:rPr>
              <w:t>CORE 3: Testing, Improving and Reflecting</w:t>
            </w:r>
          </w:p>
          <w:p w14:paraId="5C0DE35B" w14:textId="77777777" w:rsidR="009D0063" w:rsidRDefault="00000000">
            <w:pPr>
              <w:rPr>
                <w:rFonts w:ascii="IBM Plex Sans" w:eastAsia="IBM Plex Sans" w:hAnsi="IBM Plex Sans" w:cs="IBM Plex Sans"/>
                <w:color w:val="DDDDDD"/>
                <w:sz w:val="21"/>
                <w:szCs w:val="21"/>
                <w:lang w:val="en-US"/>
              </w:rPr>
            </w:pPr>
            <w:r>
              <w:rPr>
                <w:rFonts w:ascii="IBM Plex Sans" w:eastAsia="IBM Plex Sans" w:hAnsi="IBM Plex Sans" w:cs="IBM Plex Sans"/>
                <w:color w:val="DDDDDD"/>
                <w:sz w:val="21"/>
                <w:szCs w:val="21"/>
              </w:rPr>
              <w:t>45 min | Two mandatory peer tests | Improve or Keep as designed | Matched verification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Protected minimum</w:t>
            </w:r>
            <w:r>
              <w:rPr>
                <w:rFonts w:ascii="Calibri" w:hAnsi="Calibri" w:eastAsia="Calibri"/>
                <w:b w:val="0"/>
                <w:color w:val="1F1F1F"/>
                <w:sz w:val="18"/>
              </w:rPr>
              <w:br/>
              <w:t>CORE 1 principle test + one Fresh User Challenge -&gt; evidence-based Improve or Keep decision -&gt; same-input re-test or confirmation test. Skip the optional expected-use test, GenAI support, screenshots, and whole-class sharing when time is tight.</w:t>
            </w:r>
          </w:p>
        </w:tc>
      </w:tr>
    </w:tbl>
    <w:p>
      <w:pPr>
        <w:pStyle w:val="3"/>
        <w:keepNext/>
      </w:pPr>
      <w:r>
        <w:t>Before students enter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F4E7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8352"/>
            <w:shd w:fill="1F4E7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Teacher action</w:t>
            </w:r>
          </w:p>
        </w:tc>
      </w:tr>
      <w:tr>
        <w:tc>
          <w:tcPr>
            <w:tcW w:type="dxa" w:w="2232"/>
            <w:shd w:fill="DDEBF7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1F1F"/>
                <w:sz w:val="17"/>
              </w:rPr>
              <w:t>Pair groups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Prepare pairings and a simple clockwise or left/right station exchange.</w:t>
            </w:r>
          </w:p>
        </w:tc>
      </w:tr>
      <w:tr>
        <w:tc>
          <w:tcPr>
            <w:tcW w:type="dxa" w:w="2232"/>
            <w:shd w:fill="DDEBF7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1F1F"/>
                <w:sz w:val="17"/>
              </w:rPr>
              <w:t>Open prototypes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For Scratch, leave each project open on its original device and test the green-flag start.</w:t>
            </w:r>
          </w:p>
        </w:tc>
      </w:tr>
      <w:tr>
        <w:tc>
          <w:tcPr>
            <w:tcW w:type="dxa" w:w="2232"/>
            <w:shd w:fill="DDEBF7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1F1F"/>
                <w:sz w:val="17"/>
              </w:rPr>
              <w:t>Check the handover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Purpose, user, start instruction, CORE 1 principle, implemented feature, exact test, and expected evidence must be complete.</w:t>
            </w:r>
          </w:p>
        </w:tc>
      </w:tr>
      <w:tr>
        <w:tc>
          <w:tcPr>
            <w:tcW w:type="dxa" w:w="2232"/>
            <w:shd w:fill="DDEBF7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1F1F"/>
                <w:sz w:val="17"/>
              </w:rPr>
              <w:t>Prepare evidence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One CORE 3 Test-Decide-Confirm Card per group. Creators keep their CORE 2 mini-test baseline hidden during peer testing.</w:t>
            </w:r>
          </w:p>
        </w:tc>
      </w:tr>
      <w:tr>
        <w:tc>
          <w:tcPr>
            <w:tcW w:type="dxa" w:w="2232"/>
            <w:shd w:fill="DDEBF7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1F1F"/>
                <w:sz w:val="17"/>
              </w:rPr>
              <w:t>Plan saving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Confirm how final projects/cards will be saved and collected. Keep the CORE 2 paper logic as the technical fallback.</w:t>
            </w:r>
          </w:p>
        </w:tc>
      </w:tr>
    </w:tbl>
    <w:p>
      <w:pPr>
        <w:pStyle w:val="3"/>
        <w:keepNext/>
      </w:pPr>
      <w:r>
        <w:t>45-minute classroom flow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1F4E7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960"/>
            <w:shd w:fill="1F4E7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Teaching move</w:t>
            </w:r>
          </w:p>
        </w:tc>
        <w:tc>
          <w:tcPr>
            <w:tcW w:type="dxa" w:w="5616"/>
            <w:shd w:fill="1F4E7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Minimum evidence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0-4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Reconnect with the CORE 2 evidence package.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Prototype, Handover Card, internal mini-test baseline, visible CORE 1 feature.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4-7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Explain the two mandatory missions and exchange groups.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Students understand: test the prototype, record behaviour, do not ask creators for explanations.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7-15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Independent peer test.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Exact CORE 1 principle test + one safe Fresh User Challenge; input and observed behaviour recorded.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15-20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Return evidence and compare with CORE 2.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One verified strength, one key finding, Improve or Keep decision.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20-30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Act on the decision.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One focused change only when evidence justifies it, or a written Keep reason.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30-35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Verify the decision.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Same-input re-test after Improve or confirmation test after Keep.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35-40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Complete concise reflection.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Principle validation, strength, remaining limitation, human judgement.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40-45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Save, collect, and use technical buffer.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6"/>
              </w:rPr>
              <w:t>Final prototype/simulation and completed CORE 3 Test-Decide-Confirm Card.</w:t>
            </w:r>
          </w:p>
        </w:tc>
      </w:tr>
    </w:tbl>
    <w:p>
      <w:pPr>
        <w:pStyle w:val="3"/>
        <w:keepNext/>
      </w:pPr>
      <w:r>
        <w:t>Teacher prompts that keep evidence central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When students say...</w:t>
            </w:r>
          </w:p>
        </w:tc>
        <w:tc>
          <w:tcPr>
            <w:tcW w:type="dxa" w:w="7704"/>
            <w:shd w:fill="1F4E7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Ask...</w:t>
            </w:r>
          </w:p>
        </w:tc>
      </w:tr>
      <w:tr>
        <w:tc>
          <w:tcPr>
            <w:tcW w:type="dxa" w:w="2880"/>
            <w:shd w:fill="F2F4F7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1F1F"/>
                <w:sz w:val="17"/>
              </w:rPr>
              <w:t>“It worked.”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What exactly did you enter, and what exactly happened?</w:t>
            </w:r>
          </w:p>
        </w:tc>
      </w:tr>
      <w:tr>
        <w:tc>
          <w:tcPr>
            <w:tcW w:type="dxa" w:w="2880"/>
            <w:shd w:fill="F2F4F7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1F1F"/>
                <w:sz w:val="17"/>
              </w:rPr>
              <w:t>“We should change it.”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Which peer-test result shows that this change is needed?</w:t>
            </w:r>
          </w:p>
        </w:tc>
      </w:tr>
      <w:tr>
        <w:tc>
          <w:tcPr>
            <w:tcW w:type="dxa" w:w="2880"/>
            <w:shd w:fill="F2F4F7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1F1F"/>
                <w:sz w:val="17"/>
              </w:rPr>
              <w:t>“We want to keep it.”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Which input and observed behaviour prove that it already works?</w:t>
            </w:r>
          </w:p>
        </w:tc>
      </w:tr>
      <w:tr>
        <w:tc>
          <w:tcPr>
            <w:tcW w:type="dxa" w:w="2880"/>
            <w:shd w:fill="F2F4F7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1F1F"/>
                <w:sz w:val="17"/>
              </w:rPr>
              <w:t>“We fixed it.”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Did you repeat the same input that revealed the issue?</w:t>
            </w:r>
          </w:p>
        </w:tc>
      </w:tr>
      <w:tr>
        <w:tc>
          <w:tcPr>
            <w:tcW w:type="dxa" w:w="2880"/>
            <w:shd w:fill="F2F4F7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1F1F"/>
                <w:sz w:val="17"/>
              </w:rPr>
              <w:t>“The principle is in our comment.”</w:t>
            </w:r>
          </w:p>
        </w:tc>
        <w:tc>
          <w:tcPr>
            <w:tcW w:type="dxa" w:w="7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What did the peer user actually experience on the stage or in the simulation?</w:t>
            </w:r>
          </w:p>
        </w:tc>
      </w:tr>
    </w:tbl>
    <w:p>
      <w:pPr>
        <w:pStyle w:val="3"/>
        <w:keepNext/>
      </w:pPr>
      <w:r>
        <w:t>Decision and verification rule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F4E7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4608"/>
            <w:shd w:fill="1F4E7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What students do</w:t>
            </w:r>
          </w:p>
        </w:tc>
        <w:tc>
          <w:tcPr>
            <w:tcW w:type="dxa" w:w="4104"/>
            <w:shd w:fill="1F4E79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How they verify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IMPROVE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Change one response, rule, branch, fallback, limitation, card, arrow, or setup instruction connected to the evidence.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Repeat the exact issue-revealing input. Record Fixed / Partly fixed / Not fixed.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KEEP AS DESIGNED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Do not make a cosmetic change. Record the specific evidence showing that the tested feature works.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 w:val="0"/>
                <w:color w:val="1F1F1F"/>
                <w:sz w:val="17"/>
              </w:rPr>
              <w:t>Use one unused Handover question or a second safe wording. Record Confirmed / Not confirmed.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color w:val="1F4E79"/>
                <w:sz w:val="17"/>
              </w:rPr>
              <w:t>Technical fallback</w:t>
            </w:r>
            <w:r>
              <w:rPr>
                <w:rFonts w:ascii="Calibri" w:hAnsi="Calibri" w:eastAsia="Calibri"/>
                <w:b w:val="0"/>
                <w:color w:val="1F1F1F"/>
                <w:sz w:val="17"/>
              </w:rPr>
              <w:br/>
              <w:t>If a digital prototype fails to open, do not spend the lesson rebuilding it. Use the CORE 2 design logic, response rules, or paper rehearsal as a temporary paper-based prototype and continue the same evidence cycle.</w:t>
            </w:r>
          </w:p>
        </w:tc>
      </w:tr>
    </w:tbl>
    <w:p>
      <w:pPr>
        <w:pStyle w:val="3"/>
        <w:keepNext/>
      </w:pPr>
      <w:r>
        <w:t>End-of-lesson evidence package</w:t>
      </w:r>
    </w:p>
    <w:p>
      <w:pPr>
        <w:pStyle w:val="a7"/>
        <w:spacing w:after="40"/>
        <w:ind w:left="230" w:hanging="173"/>
      </w:pPr>
      <w:r>
        <w:rPr>
          <w:sz w:val="18"/>
        </w:rPr>
        <w:t>· one completed Test-Decide-Confirm Card per group;</w:t>
      </w:r>
    </w:p>
    <w:p>
      <w:pPr>
        <w:pStyle w:val="a7"/>
        <w:spacing w:after="40"/>
        <w:ind w:left="230" w:hanging="173"/>
      </w:pPr>
      <w:r>
        <w:rPr>
          <w:sz w:val="18"/>
        </w:rPr>
        <w:t>· the final prototype or simulation, changed only when evidence justified it;</w:t>
      </w:r>
    </w:p>
    <w:p>
      <w:pPr>
        <w:pStyle w:val="a7"/>
        <w:spacing w:after="40"/>
        <w:ind w:left="230" w:hanging="173"/>
      </w:pPr>
      <w:r>
        <w:rPr>
          <w:sz w:val="18"/>
        </w:rPr>
        <w:t>· one matched verification result;</w:t>
      </w:r>
    </w:p>
    <w:p>
      <w:pPr>
        <w:pStyle w:val="a7"/>
        <w:spacing w:after="40"/>
        <w:ind w:left="230" w:hanging="173"/>
      </w:pPr>
      <w:r>
        <w:rPr>
          <w:sz w:val="18"/>
        </w:rPr>
        <w:t>· one concise reflection; and</w:t>
      </w:r>
    </w:p>
    <w:p>
      <w:pPr>
        <w:pStyle w:val="a7"/>
        <w:spacing w:after="40"/>
        <w:ind w:left="230" w:hanging="173"/>
      </w:pPr>
      <w:r>
        <w:rPr>
          <w:sz w:val="18"/>
        </w:rPr>
        <w:t>· no personal data in screenshots, transcripts, filenames, or shared links.</w:t>
      </w:r>
    </w:p>
    <w:sectPr w:rsidR="00F904B6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008" w:right="1080" w:bottom="1008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8B335" w14:textId="77777777" w:rsidR="002171B6" w:rsidRDefault="002171B6">
      <w:pPr>
        <w:spacing w:after="0" w:line="240" w:lineRule="auto"/>
      </w:pPr>
      <w:r>
        <w:separator/>
      </w:r>
    </w:p>
  </w:endnote>
  <w:endnote w:type="continuationSeparator" w:id="0">
    <w:p w14:paraId="6CA52D8D" w14:textId="77777777" w:rsidR="002171B6" w:rsidRDefault="0021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C4490" w14:textId="77777777" w:rsidR="009D0063" w:rsidRDefault="009D006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94EA" w14:textId="77777777" w:rsidR="009D0063" w:rsidRDefault="009D006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039A" w14:textId="77777777" w:rsidR="009D0063" w:rsidRDefault="009D00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834A1" w14:textId="77777777" w:rsidR="002171B6" w:rsidRDefault="002171B6">
      <w:pPr>
        <w:spacing w:after="0" w:line="240" w:lineRule="auto"/>
      </w:pPr>
      <w:r>
        <w:separator/>
      </w:r>
    </w:p>
  </w:footnote>
  <w:footnote w:type="continuationSeparator" w:id="0">
    <w:p w14:paraId="49E2E29F" w14:textId="77777777" w:rsidR="002171B6" w:rsidRDefault="0021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DC7CF" w14:textId="77777777" w:rsidR="009D0063" w:rsidRDefault="00000000">
    <w:pPr>
      <w:rPr>
        <w:lang w:val="el-GR"/>
      </w:rPr>
    </w:pPr>
    <w:r>
      <w:rPr>
        <w:noProof/>
      </w:rPr>
      <w:drawing>
        <wp:inline distT="114300" distB="114300" distL="114300" distR="114300" wp14:anchorId="3A09A2F9" wp14:editId="1EBE0041">
          <wp:extent cx="2392933" cy="257594"/>
          <wp:effectExtent l="0" t="0" r="0" b="9525"/>
          <wp:docPr id="13874419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7143" t="31556" r="-7143" b="32113"/>
                  <a:stretch>
                    <a:fillRect/>
                  </a:stretch>
                </pic:blipFill>
                <pic:spPr bwMode="auto">
                  <a:xfrm>
                    <a:off x="0" y="0"/>
                    <a:ext cx="2395538" cy="2578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E2FC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284D2E"/>
    <w:multiLevelType w:val="multilevel"/>
    <w:tmpl w:val="B86C88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A0E0999"/>
    <w:multiLevelType w:val="hybridMultilevel"/>
    <w:tmpl w:val="BDAE3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31E3A"/>
    <w:multiLevelType w:val="multilevel"/>
    <w:tmpl w:val="A856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2A178CD"/>
    <w:multiLevelType w:val="hybridMultilevel"/>
    <w:tmpl w:val="4CAE1218"/>
    <w:lvl w:ilvl="0" w:tplc="3BDCD6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60793"/>
    <w:multiLevelType w:val="hybridMultilevel"/>
    <w:tmpl w:val="945AE6F8"/>
    <w:lvl w:ilvl="0" w:tplc="0E761FBA">
      <w:numFmt w:val="bullet"/>
      <w:lvlText w:val="•"/>
      <w:lvlJc w:val="left"/>
      <w:pPr>
        <w:ind w:left="1080" w:hanging="720"/>
      </w:pPr>
      <w:rPr>
        <w:rFonts w:ascii="Calibri Light" w:eastAsia="IBM Plex Sans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C4FCC"/>
    <w:multiLevelType w:val="hybridMultilevel"/>
    <w:tmpl w:val="2A7405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4A3C70"/>
    <w:multiLevelType w:val="hybridMultilevel"/>
    <w:tmpl w:val="5B1831C8"/>
    <w:lvl w:ilvl="0" w:tplc="FF120DEC">
      <w:numFmt w:val="bullet"/>
      <w:lvlText w:val="·"/>
      <w:lvlJc w:val="left"/>
      <w:pPr>
        <w:ind w:left="720" w:hanging="360"/>
      </w:pPr>
      <w:rPr>
        <w:rFonts w:ascii="Calibri Light" w:eastAsia="Arial" w:hAnsi="Calibri Light" w:cs="Calibri Light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6341B"/>
    <w:multiLevelType w:val="hybridMultilevel"/>
    <w:tmpl w:val="6964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1593D"/>
    <w:multiLevelType w:val="hybridMultilevel"/>
    <w:tmpl w:val="6E7270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57FDA"/>
    <w:multiLevelType w:val="hybridMultilevel"/>
    <w:tmpl w:val="336AB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448443">
    <w:abstractNumId w:val="1"/>
  </w:num>
  <w:num w:numId="2" w16cid:durableId="1784180706">
    <w:abstractNumId w:val="3"/>
  </w:num>
  <w:num w:numId="3" w16cid:durableId="891815224">
    <w:abstractNumId w:val="8"/>
  </w:num>
  <w:num w:numId="4" w16cid:durableId="1656837923">
    <w:abstractNumId w:val="4"/>
  </w:num>
  <w:num w:numId="5" w16cid:durableId="583608856">
    <w:abstractNumId w:val="0"/>
  </w:num>
  <w:num w:numId="6" w16cid:durableId="1016537605">
    <w:abstractNumId w:val="6"/>
  </w:num>
  <w:num w:numId="7" w16cid:durableId="416024226">
    <w:abstractNumId w:val="2"/>
  </w:num>
  <w:num w:numId="8" w16cid:durableId="375086898">
    <w:abstractNumId w:val="9"/>
  </w:num>
  <w:num w:numId="9" w16cid:durableId="2099669759">
    <w:abstractNumId w:val="5"/>
  </w:num>
  <w:num w:numId="10" w16cid:durableId="656304197">
    <w:abstractNumId w:val="10"/>
  </w:num>
  <w:num w:numId="11" w16cid:durableId="1457798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61"/>
    <w:rsid w:val="00003AE5"/>
    <w:rsid w:val="00042BF6"/>
    <w:rsid w:val="0006369E"/>
    <w:rsid w:val="00080445"/>
    <w:rsid w:val="001010F6"/>
    <w:rsid w:val="00142006"/>
    <w:rsid w:val="00147C8E"/>
    <w:rsid w:val="0015262E"/>
    <w:rsid w:val="00156017"/>
    <w:rsid w:val="001C198C"/>
    <w:rsid w:val="001C1B9D"/>
    <w:rsid w:val="002171B6"/>
    <w:rsid w:val="0023797F"/>
    <w:rsid w:val="0026183F"/>
    <w:rsid w:val="00293AD3"/>
    <w:rsid w:val="00294110"/>
    <w:rsid w:val="00306B2D"/>
    <w:rsid w:val="00312484"/>
    <w:rsid w:val="00343D88"/>
    <w:rsid w:val="003D1774"/>
    <w:rsid w:val="00401453"/>
    <w:rsid w:val="00436A48"/>
    <w:rsid w:val="004632F8"/>
    <w:rsid w:val="00484D54"/>
    <w:rsid w:val="004B1726"/>
    <w:rsid w:val="004D1C73"/>
    <w:rsid w:val="004E1BDF"/>
    <w:rsid w:val="0053239B"/>
    <w:rsid w:val="00540E6D"/>
    <w:rsid w:val="0058130C"/>
    <w:rsid w:val="005A5552"/>
    <w:rsid w:val="005C5985"/>
    <w:rsid w:val="00602AF4"/>
    <w:rsid w:val="00687333"/>
    <w:rsid w:val="006B218C"/>
    <w:rsid w:val="0070094B"/>
    <w:rsid w:val="0071339C"/>
    <w:rsid w:val="00723E8C"/>
    <w:rsid w:val="00731F66"/>
    <w:rsid w:val="00737E80"/>
    <w:rsid w:val="007A6029"/>
    <w:rsid w:val="007B05FB"/>
    <w:rsid w:val="007B40B3"/>
    <w:rsid w:val="007C73DB"/>
    <w:rsid w:val="007D48C9"/>
    <w:rsid w:val="00805C72"/>
    <w:rsid w:val="008308D3"/>
    <w:rsid w:val="008437BB"/>
    <w:rsid w:val="00850C7D"/>
    <w:rsid w:val="0089707E"/>
    <w:rsid w:val="008A4EA0"/>
    <w:rsid w:val="008B1252"/>
    <w:rsid w:val="0090045B"/>
    <w:rsid w:val="009305E7"/>
    <w:rsid w:val="00950EEE"/>
    <w:rsid w:val="0095459E"/>
    <w:rsid w:val="00963131"/>
    <w:rsid w:val="00975919"/>
    <w:rsid w:val="00993143"/>
    <w:rsid w:val="009A7D53"/>
    <w:rsid w:val="009B66BB"/>
    <w:rsid w:val="009C3063"/>
    <w:rsid w:val="009D0063"/>
    <w:rsid w:val="009D548E"/>
    <w:rsid w:val="009F0961"/>
    <w:rsid w:val="00A27A36"/>
    <w:rsid w:val="00A520EC"/>
    <w:rsid w:val="00A66F5D"/>
    <w:rsid w:val="00A755CE"/>
    <w:rsid w:val="00A82E2B"/>
    <w:rsid w:val="00A8519E"/>
    <w:rsid w:val="00AD49B3"/>
    <w:rsid w:val="00B3310F"/>
    <w:rsid w:val="00B63CAF"/>
    <w:rsid w:val="00BA14AC"/>
    <w:rsid w:val="00BC2B68"/>
    <w:rsid w:val="00BF1286"/>
    <w:rsid w:val="00BF31C7"/>
    <w:rsid w:val="00BF7018"/>
    <w:rsid w:val="00C05DF0"/>
    <w:rsid w:val="00C62E61"/>
    <w:rsid w:val="00CA71DB"/>
    <w:rsid w:val="00CA7F9D"/>
    <w:rsid w:val="00CD4957"/>
    <w:rsid w:val="00CF2938"/>
    <w:rsid w:val="00CF374A"/>
    <w:rsid w:val="00D47BF7"/>
    <w:rsid w:val="00DA3D1A"/>
    <w:rsid w:val="00DB4D3B"/>
    <w:rsid w:val="00DC5B12"/>
    <w:rsid w:val="00E05567"/>
    <w:rsid w:val="00E1268D"/>
    <w:rsid w:val="00E26BD6"/>
    <w:rsid w:val="00E3131E"/>
    <w:rsid w:val="00E72FC7"/>
    <w:rsid w:val="00E81501"/>
    <w:rsid w:val="00EB564F"/>
    <w:rsid w:val="00EE12F8"/>
    <w:rsid w:val="00EE61BA"/>
    <w:rsid w:val="00F02533"/>
    <w:rsid w:val="00F37CBA"/>
    <w:rsid w:val="00F904B6"/>
    <w:rsid w:val="00FC7EAC"/>
    <w:rsid w:val="00FD673B"/>
    <w:rsid w:val="00F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B18FC"/>
  <w15:chartTrackingRefBased/>
  <w15:docId w15:val="{7B084C8D-0E8F-4C6F-B543-8DE51A27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2E61"/>
    <w:pPr>
      <w:spacing w:after="120" w:line="276" w:lineRule="auto"/>
    </w:pPr>
    <w:rPr>
      <w:rFonts w:ascii="Calibri Light" w:eastAsia="Arial" w:hAnsi="Calibri Light" w:cs="Arial"/>
      <w:kern w:val="0"/>
      <w:lang w:val="en"/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C6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C6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436A48"/>
    <w:pPr>
      <w:keepNext/>
      <w:keepLines/>
      <w:numPr>
        <w:ilvl w:val="1"/>
        <w:numId w:val="2"/>
      </w:numPr>
      <w:shd w:val="pct10" w:color="auto" w:fill="auto"/>
      <w:spacing w:before="160" w:after="80" w:line="240" w:lineRule="auto"/>
      <w:jc w:val="both"/>
      <w:outlineLvl w:val="2"/>
    </w:pPr>
    <w:rPr>
      <w:rFonts w:ascii="Calibri" w:eastAsiaTheme="majorEastAsia" w:hAnsi="Calibri" w:cstheme="majorBidi"/>
      <w:smallCaps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C6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C6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C6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C6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C6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C6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Char">
    <w:name w:val="Επικεφαλίδα 3 Char"/>
    <w:basedOn w:val="a1"/>
    <w:link w:val="3"/>
    <w:uiPriority w:val="9"/>
    <w:rsid w:val="00436A48"/>
    <w:rPr>
      <w:rFonts w:ascii="Calibri" w:eastAsiaTheme="majorEastAsia" w:hAnsi="Calibri" w:cstheme="majorBidi"/>
      <w:smallCaps/>
      <w:color w:val="0F4761" w:themeColor="accent1" w:themeShade="BF"/>
      <w:kern w:val="0"/>
      <w:sz w:val="28"/>
      <w:szCs w:val="28"/>
      <w:shd w:val="pct10" w:color="auto" w:fill="auto"/>
      <w14:ligatures w14:val="none"/>
    </w:rPr>
  </w:style>
  <w:style w:type="character" w:customStyle="1" w:styleId="1Char">
    <w:name w:val="Επικεφαλίδα 1 Char"/>
    <w:basedOn w:val="a1"/>
    <w:link w:val="1"/>
    <w:uiPriority w:val="9"/>
    <w:rsid w:val="00C6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1"/>
    <w:link w:val="2"/>
    <w:uiPriority w:val="9"/>
    <w:rsid w:val="00C6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Επικεφαλίδα 4 Char"/>
    <w:basedOn w:val="a1"/>
    <w:link w:val="4"/>
    <w:uiPriority w:val="9"/>
    <w:rsid w:val="00C62E6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1"/>
    <w:link w:val="5"/>
    <w:uiPriority w:val="9"/>
    <w:rsid w:val="00C62E6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1"/>
    <w:link w:val="6"/>
    <w:uiPriority w:val="9"/>
    <w:semiHidden/>
    <w:rsid w:val="00C62E6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1"/>
    <w:link w:val="7"/>
    <w:uiPriority w:val="9"/>
    <w:semiHidden/>
    <w:rsid w:val="00C62E6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1"/>
    <w:link w:val="8"/>
    <w:uiPriority w:val="9"/>
    <w:semiHidden/>
    <w:rsid w:val="00C62E6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1"/>
    <w:link w:val="9"/>
    <w:uiPriority w:val="9"/>
    <w:semiHidden/>
    <w:rsid w:val="00C62E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C6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1"/>
    <w:link w:val="a4"/>
    <w:uiPriority w:val="10"/>
    <w:rsid w:val="00C6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C6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1"/>
    <w:link w:val="a5"/>
    <w:uiPriority w:val="11"/>
    <w:rsid w:val="00C6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C6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1"/>
    <w:link w:val="a6"/>
    <w:uiPriority w:val="29"/>
    <w:rsid w:val="00C62E61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C62E6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62E61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C6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1"/>
    <w:link w:val="a9"/>
    <w:uiPriority w:val="30"/>
    <w:rsid w:val="00C62E61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C62E61"/>
    <w:rPr>
      <w:b/>
      <w:bCs/>
      <w:smallCaps/>
      <w:color w:val="0F4761" w:themeColor="accent1" w:themeShade="BF"/>
      <w:spacing w:val="5"/>
    </w:rPr>
  </w:style>
  <w:style w:type="table" w:customStyle="1" w:styleId="36">
    <w:name w:val="36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a2"/>
    <w:rsid w:val="00C62E61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">
    <w:name w:val="List Bullet"/>
    <w:basedOn w:val="a0"/>
    <w:uiPriority w:val="99"/>
    <w:unhideWhenUsed/>
    <w:rsid w:val="00C62E61"/>
    <w:pPr>
      <w:numPr>
        <w:numId w:val="5"/>
      </w:numPr>
      <w:tabs>
        <w:tab w:val="clear" w:pos="360"/>
      </w:tabs>
      <w:spacing w:after="200"/>
      <w:ind w:left="0" w:firstLine="0"/>
      <w:contextualSpacing/>
    </w:pPr>
    <w:rPr>
      <w:rFonts w:ascii="Aptos" w:eastAsiaTheme="minorEastAsia" w:hAnsi="Aptos" w:cstheme="minorBidi"/>
      <w:sz w:val="21"/>
      <w:lang w:val="en-US"/>
    </w:rPr>
  </w:style>
  <w:style w:type="table" w:styleId="ab">
    <w:name w:val="Table Grid"/>
    <w:basedOn w:val="a2"/>
    <w:uiPriority w:val="59"/>
    <w:rsid w:val="00C62E61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14</Pages>
  <Words>5128</Words>
  <Characters>29231</Characters>
  <Application>Microsoft Office Word</Application>
  <DocSecurity>0</DocSecurity>
  <Lines>243</Lines>
  <Paragraphs>68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01_CORE3_Teacher_Quick_Walkthrough_45min</dc:title>
  <dc:subject>GenSTEAMers - Chatting with AI</dc:subject>
  <dc:creator>GenSTEAMers</dc:creator>
  <cp:keywords>GenSTEAMers, Chatting with AI, CORE 3, Teacher Guide</cp:keywords>
  <dc:description/>
  <cp:lastModifiedBy>GenSTEAMers</cp:lastModifiedBy>
  <cp:revision>80</cp:revision>
  <dcterms:created xsi:type="dcterms:W3CDTF">2026-06-13T12:51:00Z</dcterms:created>
  <dcterms:modified xsi:type="dcterms:W3CDTF">2026-06-28T11:53:00Z</dcterms:modified>
</cp:coreProperties>
</file>