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OPTION A — Scratch Independent Testing Card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Default route | Use with an open saved project, Part 3 Test Brief, Part 4 Independent Test and Review Record and Four Test Missions Card.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Before the Part 1 Principle-Specific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Ready when...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Project access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correct saved project opens on the original device where possible.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Start and reset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Green flag / agreed start action works; testers know how to return to the beginning.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Independence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Creators have stepped away and the interface/Test Brief provide the instructions.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Independent testing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Step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action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reminder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Click the green flag or agreed start action. Do not open the editor.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start message or first visible choice.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Run the Part 1 Principle-Specific Test using the exact principle-test input.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exact on-screen behaviour.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the Supported / Expected-Use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category/branch and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the Unclear-Input / Fallback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fallback and recovery guidance.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the Outside-Scope / Limitation-Safety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limit statement and redirection.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Complete the tester review and return the Part 4 Independent Test and Review Record.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Cite the relevant test missions; do not edit blocks.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Route-specific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Actual route reached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Write the branch/category or visible response, not what you expected.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Fallback versus limitation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Check that unclear input and outside-scope input do not receive the same inappropriate behaviour.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 reliability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Note a Blocked status if previous input changes the next test and reset is unavailable.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CE4D6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Important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Leave the project editor closed during all four test missions. Opening or changing blocks would destroy the independence of the evidence.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If the route is blocked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Try one reopen/restart. If the project is still inaccessible after two minutes, use only a paper backup completed and verified against the same prototype state before Part 4. Otherwise record the Scratch access block as Blocked and select RETEST NEEDED.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Part 4 boundary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evidence and return the completed record. Do not edit, rebuild, rewrite or verify a changed prototype here.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