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Step by step guidelines for the modular/short pathway</w:t>
      </w:r>
    </w:p>
    <w:tbl>
      <w:tblPr>
        <w:tblStyle w:val="3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D0063" w14:paraId="1BD8086E" w14:textId="77777777">
        <w:trPr>
          <w:cantSplit/>
          <w:trHeight w:val="810"/>
        </w:trPr>
        <w:tc>
          <w:tcPr>
            <w:tcW w:w="9360" w:type="dxa"/>
            <w:tcBorders>
              <w:top w:val="nil"/>
              <w:left w:val="nil"/>
              <w:bottom w:val="nil"/>
              <w:right w:val="nil"/>
            </w:tcBorders>
            <w:shd w:val="clear" w:color="auto" w:fill="1F5C99"/>
            <w:tcMar>
              <w:top w:w="120" w:type="dxa"/>
              <w:left w:w="180" w:type="dxa"/>
              <w:bottom w:w="120" w:type="dxa"/>
              <w:right w:w="180" w:type="dxa"/>
            </w:tcMar>
          </w:tcPr>
          <w:p w14:paraId="5FF884DC" w14:textId="77777777" w:rsidR="009D0063" w:rsidRDefault="00000000">
            <w:pPr>
              <w:pStyle w:val="2"/>
              <w:rPr>
                <w:rFonts w:ascii="IBM Plex Sans" w:eastAsia="IBM Plex Sans" w:hAnsi="IBM Plex Sans" w:cs="IBM Plex Sans"/>
                <w:color w:val="E6F1FB"/>
                <w:lang w:val="en-US"/>
              </w:rPr>
            </w:pPr>
            <w:r>
              <w:rPr>
                <w:rFonts w:ascii="IBM Plex Sans" w:eastAsia="IBM Plex Sans" w:hAnsi="IBM Plex Sans" w:cs="IBM Plex Sans"/>
                <w:color w:val="E6F1FB"/>
              </w:rPr>
              <w:t>OPT A: Training a Simple Model</w:t>
            </w:r>
          </w:p>
          <w:p w14:paraId="5C0DE35B" w14:textId="77777777" w:rsidR="009D0063" w:rsidRDefault="00000000">
            <w:pPr>
              <w:rPr>
                <w:rFonts w:ascii="IBM Plex Sans" w:eastAsia="IBM Plex Sans" w:hAnsi="IBM Plex Sans" w:cs="IBM Plex Sans"/>
                <w:color w:val="DDDDDD"/>
                <w:sz w:val="21"/>
                <w:szCs w:val="21"/>
                <w:lang w:val="en-US"/>
              </w:rPr>
            </w:pPr>
            <w:r>
              <w:rPr>
                <w:rFonts w:ascii="IBM Plex Sans" w:eastAsia="IBM Plex Sans" w:hAnsi="IBM Plex Sans" w:cs="IBM Plex Sans"/>
                <w:color w:val="DDDDDD"/>
                <w:sz w:val="21"/>
                <w:szCs w:val="21"/>
              </w:rPr>
              <w:t>~45-60 min | GenAI role(s): Optional design coach | Teacher-adaptable optional extension</w:t>
            </w:r>
          </w:p>
        </w:tc>
      </w:tr>
    </w:tbl>
    <w:p>
      <w:pPr>
        <w:pStyle w:val="3"/>
      </w:pPr>
      <w:r>
        <w:t>Overview</w:t>
      </w:r>
    </w:p>
    <w:p>
      <w:pPr/>
      <w:r>
        <w:t>In this optional extension, students investigate how a simple classification model learns from labelled examples and uses those examples to make predictions about new inputs. They work with a narrow, teacher-approved task using non-personal images or objects, non-identifiable sounds where appropriate, or a carefully structured unplugged simulation.</w:t>
      </w:r>
    </w:p>
    <w:p>
      <w:pPr/>
      <w:r>
        <w:t>OPT A should be understood as a small Model Training and Testing Lab. Students are not expected to build a complex AI system or study the mathematics of neural networks. They define a limited classification task, prepare examples, train or simulate a model, test it with examples that were not used during training, and use evidence to improve the training set or explain the model's limitations.</w:t>
      </w:r>
    </w:p>
    <w:p>
      <w:pPr/>
      <w:r>
        <w:t>This extension illustrates supervised classification. It should not be presented as a literal explanation of how a generative chatbot or large language model is trained. The pedagogical bridge is that AI behaviour is shaped by human choices: what categories are defined, which examples are included or excluded, how labels are assigned, and how the system is tested.</w:t>
      </w:r>
    </w:p>
    <w:p>
      <w:pPr/>
      <w:r>
        <w:t>The extension can be placed after CORE 2, when students already understand chatbot categories and response routes, or after CORE 3, when they have experience of testing, evidence, and revision. It can also be used as a stand-alone enrichment activity. The teacher chooses the placement that best fits students' prior knowledge, available tools, and curriculum context. Where OPT A is used as a stand-alone activity, students should first have a basic working understanding of sorting into categories and of the idea that a computer system can make predictions by identifying patterns in examples.</w:t>
      </w:r>
    </w:p>
    <w:p>
      <w:pPr/>
      <w:r>
        <w:t>The teacher selects the model modality, approved tool, categories, examples, group organisation, and final student output. The recommended default is a small image or object classification task using teacher-approved, non-identifiable resources. Tasks involving faces, identity, emotion, health, ability, behaviour, or other sensitive human attributes should not be used.</w:t>
      </w:r>
      <w:r>
        <w:t xml:space="preserve"> An indicative live tool is Google Teachable Machine - Image Project; an equivalent school-approved tool may be substituted.</w:t>
      </w:r>
    </w:p>
    <w:p>
      <w:pPr/>
      <w:r>
        <w:t>The suggested learning sequence is: define a narrow task -&gt; set two or three categories -&gt; prepare balanced and varied examples -&gt; train or simulate -&gt; test with unseen and outside-scope examples -&gt; inspect errors and uncertainty -&gt; improve or keep the design -&gt; state one limitation and one responsible-use implication.</w:t>
      </w:r>
    </w:p>
    <w:p>
      <w:pPr/>
      <w:r>
        <w:t>Where GenAI use is school-approved, it may act as a design coach after students have drafted their own categories, training examples, or interpretation of test results. GenAI suggestions are not model-test evidence and should not replace students' observations or the teacher's judgement.</w:t>
      </w:r>
    </w:p>
    <w:tbl>
      <w:tblPr>
        <w:tblStyle w:val="ab"/>
        <w:tblW w:w="9360" w:type="dxa"/>
        <w:jc w:val="center"/>
        <w:tblLook w:val="04A0" w:firstRow="1" w:lastRow="0" w:firstColumn="1" w:lastColumn="0" w:noHBand="0" w:noVBand="1"/>
      </w:tblPr>
      <w:tblGrid>
        <w:gridCol w:w="9360"/>
      </w:tblGrid>
      <w:tr w:rsidR="009D0063" w14:paraId="3FA40ADF" w14:textId="77777777">
        <w:trPr>
          <w:cantSplit/>
          <w:jc w:val="center"/>
        </w:trPr>
        <w:tc>
          <w:tcPr>
            <w:tcW w:w="9360" w:type="dxa"/>
            <w:shd w:val="clear" w:color="auto" w:fill="D9EAF7"/>
            <w:tcMar>
              <w:top w:w="120" w:type="dxa"/>
              <w:left w:w="140" w:type="dxa"/>
              <w:bottom w:w="120" w:type="dxa"/>
              <w:right w:w="140" w:type="dxa"/>
            </w:tcMar>
            <w:vAlign w:val="center"/>
            <w:tcBorders>
              <w:top w:val="single" w:sz="6" w:space="0" w:color="9FBAD2"/>
              <w:left w:val="single" w:sz="6" w:space="0" w:color="9FBAD2"/>
              <w:bottom w:val="single" w:sz="6" w:space="0" w:color="9FBAD2"/>
              <w:right w:val="single" w:sz="6" w:space="0" w:color="9FBAD2"/>
            </w:tcBorders>
          </w:tcPr>
          <w:p>
            <w:pPr>
              <w:spacing w:before="0" w:after="40" w:line="240" w:lineRule="auto"/>
            </w:pPr>
            <w:r>
              <w:rPr>
                <w:rFonts w:ascii="Calibri" w:hAnsi="Calibri" w:eastAsia="Calibri"/>
                <w:b/>
                <w:i w:val="0"/>
                <w:color w:val="0F4761"/>
                <w:sz w:val="18"/>
              </w:rPr>
              <w:t>Teacher-adaptable optional extension</w:t>
            </w:r>
          </w:p>
          <w:p>
            <w:pPr>
              <w:spacing w:before="0" w:after="0" w:line="240" w:lineRule="auto"/>
            </w:pPr>
            <w:r>
              <w:rPr>
                <w:rFonts w:ascii="Calibri" w:hAnsi="Calibri" w:eastAsia="Calibri"/>
                <w:b w:val="0"/>
                <w:i w:val="0"/>
                <w:color w:val="1F1F1F"/>
                <w:sz w:val="18"/>
              </w:rPr>
              <w:t>This guide provides the pedagogical sequence, protected minimum, evidence rules, safety boundaries, and optional GenAI prompts. It deliberately does not provide a platform-specific walkthrough, fixed category set, full student worksheet, or implementation pack. Before use, the teacher selects and tests an approved tool or simulation, prepares the local resources, defines safe categories, reserves unseen test examples, and chooses one suitable student output.</w:t>
            </w:r>
          </w:p>
        </w:tc>
      </w:tr>
    </w:tbl>
    <w:p>
      <w:pPr>
        <w:pStyle w:val="3"/>
      </w:pPr>
      <w:r>
        <w:t>Expected Student Output</w:t>
      </w:r>
    </w:p>
    <w:p>
      <w:pPr/>
      <w:r>
        <w:t>The teacher selects one primary output format. Students are not expected to produce every possible artefact. By the end of the extension, students should have produced or demonstrated:</w:t>
      </w:r>
    </w:p>
    <w:p>
      <w:pPr>
        <w:pStyle w:val="a7"/>
      </w:pPr>
      <w:r>
        <w:t>1. a clear classification question and a short statement of what the model is intended to recognise;</w:t>
      </w:r>
    </w:p>
    <w:p>
      <w:pPr>
        <w:pStyle w:val="a7"/>
      </w:pPr>
      <w:r>
        <w:t>2. two or three safe, teacher-approved classes with labels and simple inclusion boundaries;</w:t>
      </w:r>
    </w:p>
    <w:p>
      <w:pPr>
        <w:pStyle w:val="a7"/>
      </w:pPr>
      <w:r>
        <w:t>3. a small training set that is approximately balanced across classes and deliberately varied within each class;</w:t>
      </w:r>
    </w:p>
    <w:p>
      <w:pPr>
        <w:pStyle w:val="a7"/>
      </w:pPr>
      <w:r>
        <w:t>4. one trained simple model or one teacher-managed model-training simulation;</w:t>
      </w:r>
    </w:p>
    <w:p>
      <w:pPr>
        <w:pStyle w:val="a7"/>
      </w:pPr>
      <w:r>
        <w:t>5. a compact test record using at least one unseen example per class, one diagnostic challenge (a variation or ambiguous/near-boundary example), and one outside-scope example;</w:t>
      </w:r>
    </w:p>
    <w:p>
      <w:pPr>
        <w:pStyle w:val="a7"/>
      </w:pPr>
      <w:r>
        <w:t>6. one evidence-based observation about a reliable behaviour, error, shortcut, or uncertainty;</w:t>
      </w:r>
    </w:p>
    <w:p>
      <w:pPr>
        <w:pStyle w:val="a7"/>
      </w:pPr>
      <w:r>
        <w:t>7. one decision to Improve the training set or Keep it for the current narrow purpose, followed by a matched re-test or confirmation test;</w:t>
      </w:r>
    </w:p>
    <w:p>
      <w:pPr>
        <w:pStyle w:val="a7"/>
      </w:pPr>
      <w:r>
        <w:t>8. one limitation statement and one explanation of where human judgement remains necessary;</w:t>
      </w:r>
    </w:p>
    <w:p>
      <w:pPr/>
      <w:r>
        <w:rPr>
          <w:b/>
        </w:rPr>
        <w:t xml:space="preserve">Optional project connection: </w:t>
      </w:r>
      <w:r>
        <w:t>Where OPT A follows CORE 2 or CORE 3, students may also sketch or explain how one model prediction could trigger a chatbot route, without describing the classifier as the chatbot itself. This is not required in stand-alone use.</w:t>
      </w:r>
    </w:p>
    <w:p>
      <w:pPr/>
      <w:r>
        <w:t>Where optional GenAI design coaching is used, students record only the suggestion they considered and whether they accepted, adapted, or rejected it. This should remain a brief part of the selected output, not an additional long assignment.</w:t>
      </w:r>
    </w:p>
    <w:p>
      <w:pPr>
        <w:pStyle w:val="4"/>
      </w:pPr>
      <w:r>
        <w:t>Minimum expectation</w:t>
      </w:r>
    </w:p>
    <w:p>
      <w:pPr/>
      <w:r>
        <w:t>The minimum expected outcome is not a highly accurate or sophisticated model. It is a small, testable classification system whose behaviour students can explain from evidence:</w:t>
      </w:r>
    </w:p>
    <w:p>
      <w:pPr>
        <w:pStyle w:val="a7"/>
      </w:pPr>
      <w:r>
        <w:t>• two or three clearly defined, safe categories;</w:t>
      </w:r>
    </w:p>
    <w:p>
      <w:pPr>
        <w:pStyle w:val="a7"/>
      </w:pPr>
      <w:r>
        <w:t>• an approximately balanced set of examples with visible variation within each category;</w:t>
      </w:r>
    </w:p>
    <w:p>
      <w:pPr>
        <w:pStyle w:val="a7"/>
      </w:pPr>
      <w:r>
        <w:t>• one completed training or simulation cycle;</w:t>
      </w:r>
    </w:p>
    <w:p>
      <w:pPr>
        <w:pStyle w:val="a7"/>
      </w:pPr>
      <w:r>
        <w:t>• at least one unseen test per category, one diagnostic challenge (variation or ambiguous/near-boundary), and one outside-scope test;</w:t>
      </w:r>
    </w:p>
    <w:p>
      <w:pPr>
        <w:pStyle w:val="a7"/>
      </w:pPr>
      <w:r>
        <w:t>• a record of what the model predicted and what students observed;</w:t>
      </w:r>
    </w:p>
    <w:p>
      <w:pPr>
        <w:pStyle w:val="a7"/>
      </w:pPr>
      <w:r>
        <w:t>• one Improve or Keep decision based on the test evidence;</w:t>
      </w:r>
    </w:p>
    <w:p>
      <w:pPr>
        <w:pStyle w:val="a7"/>
      </w:pPr>
      <w:r>
        <w:t>• one matched re-test or confirmation test;</w:t>
      </w:r>
    </w:p>
    <w:p>
      <w:pPr>
        <w:pStyle w:val="a7"/>
      </w:pPr>
      <w:r>
        <w:t>• one remaining limitation and one reason a person must still check the result.</w:t>
      </w:r>
    </w:p>
    <w:p>
      <w:pPr/>
      <w:r>
        <w:t>A strong OPT A outcome is not the model with the highest score. It is the group that can explain how the training examples influenced the predictions, identify what the model cannot reliably handle, and justify one focused decision from evidence.</w:t>
      </w:r>
    </w:p>
    <w:p>
      <w:pPr>
        <w:pStyle w:val="3"/>
      </w:pPr>
      <w:r>
        <w:t>Key Teaching Moves / Implementation steps</w:t>
      </w:r>
    </w:p>
    <w:p>
      <w:pPr>
        <w:pStyle w:val="5"/>
      </w:pPr>
      <w:r>
        <w:t>Implementation notes</w:t>
      </w:r>
    </w:p>
    <w:p>
      <w:pPr/>
      <w:r>
        <w:t>Begin with the classification question, not with the tool. Students should know what the model is meant to recognise, for whom, and within which narrow conditions before they capture or collect examples.</w:t>
      </w:r>
    </w:p>
    <w:p>
      <w:pPr/>
      <w:r>
        <w:t>Keep the categories observable and teachable. Avoid categories that ask a model to infer personality, emotion, intelligence, identity, health, risk, or other human characteristics from appearance, voice, or behaviour.</w:t>
      </w:r>
    </w:p>
    <w:p>
      <w:pPr/>
      <w:r>
        <w:t>Balance and variation are different design needs. Approximate balance prevents one category from dominating by quantity; variation helps the model encounter different angles, sizes, backgrounds, lighting conditions, drawing styles, or sound conditions within the same category.</w:t>
      </w:r>
    </w:p>
    <w:p>
      <w:pPr/>
      <w:r>
        <w:t>Protect the difference between training and testing. Reserve examples that are not shown during training. Reusing the same examples may make the model appear successful without showing whether it works for a new input.</w:t>
      </w:r>
    </w:p>
    <w:p>
      <w:pPr/>
      <w:r>
        <w:t>Treat confidence values cautiously where the selected tool displays them. A high confidence score does not prove that a prediction is correct, fair, or suitable for real-world use.</w:t>
      </w:r>
    </w:p>
    <w:p>
      <w:pPr/>
      <w:r>
        <w:t>Many simple classifiers will still choose one of the available categories for an outside-scope input. Use this as evidence that the model does not necessarily know when it does not know.</w:t>
      </w:r>
    </w:p>
    <w:p>
      <w:pPr/>
      <w:r>
        <w:t>Treat errors as useful evidence. The purpose is not endless retraining. One focused Improve or Keep decision and one matched verification test are sufficient for the extension.</w:t>
      </w:r>
    </w:p>
    <w:p>
      <w:pPr/>
      <w:r>
        <w:t>The connection to chatbot design is optional and should remain conceptually accurate. A classifier may help choose a route or response category, but it is not equivalent to a generative chatbot or its full training process.</w:t>
      </w:r>
    </w:p>
    <w:p>
      <w:pPr/>
      <w:r>
        <w:t>Select one primary student output before the activity. Do not turn this optional extension into a second full project with multiple worksheets, presentations, and technical products.</w:t>
      </w:r>
    </w:p>
    <w:p>
      <w:pPr>
        <w:pStyle w:val="4"/>
      </w:pPr>
      <w:r>
        <w:t>Material Reference Map</w:t>
      </w:r>
    </w:p>
    <w:p>
      <w:pPr/>
      <w:r>
        <w:t>The only supplied material for OPT A is this Teacher Guide. The intentionally small material footprint allows the teacher to adapt the extension to available tools, subjects, and local resources.</w:t>
      </w:r>
    </w:p>
    <w:tbl>
      <w:tblPr>
        <w:tblStyle w:val="ab"/>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79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Resource</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Supplied file</w:t>
            </w:r>
          </w:p>
        </w:tc>
        <w:tc>
          <w:tcPr>
            <w:tcW w:type="dxa" w:w="432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Purpose / when used</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Teacher Guide</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ChattingwithAI_TeacherGuide_Modular_OPTA.docx</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Planning, adaptation, safeguards, suggested flow, test protocol, GenAI prompts, and teacher notes.</w:t>
            </w:r>
          </w:p>
        </w:tc>
      </w:tr>
    </w:tbl>
    <w:p>
      <w:pPr/>
      <w:r>
        <w:t>No separate student worksheet, walkthrough, training dataset, or platform-specific implementation pack is supplied. Locally prepared objects, images, category cards, test examples, or recording surfaces are teacher-created resources and are therefore not listed as supplied kit files.</w:t>
      </w:r>
    </w:p>
    <w:p>
      <w:pPr>
        <w:pStyle w:val="4"/>
      </w:pPr>
      <w:r>
        <w:t>Implementation options at a glance</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80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Implementation option</w:t>
            </w:r>
          </w:p>
        </w:tc>
        <w:tc>
          <w:tcPr>
            <w:tcW w:type="dxa" w:w="309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What students experience</w:t>
            </w:r>
          </w:p>
        </w:tc>
        <w:tc>
          <w:tcPr>
            <w:tcW w:type="dxa" w:w="93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Suitable when...</w:t>
            </w:r>
          </w:p>
        </w:tc>
        <w:tc>
          <w:tcPr>
            <w:tcW w:type="dxa" w:w="352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Teacher adaptation responsibility</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Live small-model training</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Groups prepare examples, train a simple classifier in an approved tool, and test new inputs.</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Devices and an approved beginner-friendly model-training tool, such as Teachable Machine or an equivalent school-approved tool, are available.</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Test the tool in advance; choose the modality and safe categories; prepare held-out examples; confirm saving, privacy, and access arrangements.</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Teacher-led shared model</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The class contributes category decisions and interprets one model trained or demonstrated on a shared screen.</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Time, accounts, devices, or technical confidence are limited.</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Pre-build or rehearse the model; decide which decisions students will make; pause for predictions and evidence rather than turning the activity into a demonstration only.</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Unplugged model-training simulation</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Students organise labelled examples, predict how a simplified classifier might group a new example, and audit the limitations of the rule used.</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Digital access is unavailable or the teacher wants to introduce the concepts before using a tool.</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Prepare category cards, examples, and a transparent similarity rule. State clearly that the simulation represents selected ideas from classification and is not a technical substitute for a trained model.</w:t>
            </w:r>
          </w:p>
        </w:tc>
      </w:tr>
    </w:tbl>
    <w:p>
      <w:pPr>
        <w:pStyle w:val="4"/>
      </w:pPr>
      <w:r>
        <w:t>Before the extension</w:t>
      </w:r>
    </w:p>
    <w:tbl>
      <w:tblPr>
        <w:tblStyle w:val="ab"/>
        <w:tblW w:type="auto" w:w="0"/>
        <w:jc w:val="center"/>
        <w:tblLayout w:type="fixed"/>
        <w:tblLook w:firstColumn="1" w:firstRow="1" w:lastColumn="0" w:lastRow="0" w:noHBand="0" w:noVBand="1" w:val="04A0"/>
      </w:tblPr>
      <w:tblGrid>
        <w:gridCol w:w="4680"/>
        <w:gridCol w:w="4680"/>
      </w:tblGrid>
      <w:tr>
        <w:trPr>
          <w:tblHeader w:val="true"/>
          <w:cantSplit/>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Check</w:t>
            </w:r>
          </w:p>
        </w:tc>
        <w:tc>
          <w:tcPr>
            <w:tcW w:type="dxa" w:w="741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Teacher preparation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Placement</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Decide whether OPT A follows CORE 2, follows CORE 3, or is used as a stand-alone enrichment activity. Identify the specific bridge students should make.</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Tool and access</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Select a school-approved tool or unplugged route. Test start-up, training, prediction, saving, and display of results before the lesson.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Task and categories</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Choose or approve a narrow classification task with two or three safe, observable categories. Check that the labels are understandable and not sensitive or discriminatory.</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Training resources</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Prepare or approve non-personal examples. Where live capture would take too much classroom time, pre-collect a small base set for each group; students should still make meaningful decisions about selection, balance, variation, labelling, and possible shortcut features.</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Held-out testing set</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Reserve at least one unseen example per category, one diagnostic challenge (variation or ambiguous/near-boundary), and one harmless outside-scope example. Do not use these during training.</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Evidence and output</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Choose one compact recording method and one primary output: model evidence note, one-slide report, short demonstration, or model-to-chatbot connection sketch.</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Contingency</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Prepare screenshots, a pre-trained teacher model, printed example cards, or an unplugged simulation so the learning sequence can continue if the live tool fails.</w:t>
            </w:r>
          </w:p>
        </w:tc>
      </w:tr>
    </w:tbl>
    <w:p>
      <w:pPr>
        <w:pStyle w:val="4"/>
      </w:pPr>
      <w:r>
        <w:t>Suggested Extension Flow</w:t>
      </w:r>
    </w:p>
    <w:p>
      <w:pPr/>
      <w:r>
        <w:t>The flow below is a suggested 45-60 minute range, not a minute-by-minute script. Teachers may combine stages, extend the preparation stage across subjects, or use a teacher-led demonstration, provided that the protected sequence remains visible: categories -&gt; examples -&gt; training -&gt; unseen testing -&gt; evidence-based decision -&gt; limitation.</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6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Step</w:t>
            </w:r>
          </w:p>
        </w:tc>
        <w:tc>
          <w:tcPr>
            <w:tcW w:type="dxa" w:w="324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Teaching move</w:t>
            </w:r>
          </w:p>
        </w:tc>
        <w:tc>
          <w:tcPr>
            <w:tcW w:type="dxa" w:w="122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Suggested time</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Minimum expectation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1</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Frame the model challenge</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understand the narrow task and the difference between learning from examples and understanding like a person.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2</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Define categories and success criteria</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have two or three safe categories with clear boundaries and a simple testable success statement.</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3</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Prepare and check training examples</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8-12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Examples are approximately balanced, varied, non-personal, and separate from the held-out test set.</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4</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Train or simulate the model</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5-8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A model or simulation is ready to make predictions, and students can distinguish training from testing.</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5</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Test with unseen and challenge examples</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8-10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record actual predictions for one unseen input per category, one diagnostic challenge, and one outside-scope input.</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6</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Improve or Keep, then verify</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6-8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make one focused evidence-based decision and run a matched re-test or confirmation test.</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7</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Explain limitations and make the project connection</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4-6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communicate one strength, one limitation, one human responsibility, and an optional chatbot connection.</w:t>
            </w:r>
          </w:p>
        </w:tc>
      </w:tr>
    </w:tbl>
    <w:p>
      <w:pPr/>
      <w:r>
        <w:t>OPT A output: one teacher-selected compact artefact showing the classification task, categories, training-set choices, unseen test evidence, one Improve-or-Keep decision, one verification result, and one limitation.</w:t>
      </w:r>
    </w:p>
    <w:p>
      <w:pPr/>
      <w:r>
        <w:t>If time is tight, protect the category definitions, separation of training and testing, one unseen test per category, one diagnostic challenge, the outside-scope challenge, and the final limitation statement. Reduce decorative work, repeated retraining, large data collection, or extended presentation.</w:t>
      </w:r>
    </w:p>
    <w:p>
      <w:pPr>
        <w:pStyle w:val="4"/>
      </w:pPr>
      <w:r>
        <w:t>OPT A - Train, test, and explain</w:t>
      </w:r>
    </w:p>
    <w:p>
      <w:pPr/>
      <w:r>
        <w:t>Suggested duration: 45-60 minutes</w:t>
      </w:r>
    </w:p>
    <w:p>
      <w:pPr/>
      <w:r>
        <w:t>Focus: Students examine how labelled examples and human choices influence the behaviour of a simple classification model.</w:t>
      </w:r>
    </w:p>
    <w:p>
      <w:pPr/>
      <w:r>
        <w:t>Main idea: The teacher provides the structure and safety boundaries; students make limited design choices, observe what the model actually predicts, and use evidence to explain what should change or remain.</w:t>
      </w:r>
    </w:p>
    <w:p>
      <w:pPr>
        <w:pStyle w:val="5"/>
        <w:pageBreakBefore/>
      </w:pPr>
      <w:r>
        <w:t>Step 1. Frame the model challenge</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Teacher-selected challenge, one or two sample inputs, Teacher Guide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Introduce one narrow question: "Can a model learn to sort these safe objects or images into two or three useful categories?" Explain that it identifies patterns in examples but does not understand meaning or context as a person does. State how the extension connects to earlier learning.</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restate the model purpose, identify the intended input, and describe what a successful prediction would look like.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states the model purpose, intended input, and two or three safe categories. The scope is observable and narrow.</w:t>
            </w:r>
          </w:p>
        </w:tc>
      </w:tr>
    </w:tbl>
    <w:p>
      <w:pPr>
        <w:pStyle w:val="5"/>
      </w:pPr>
      <w:r>
        <w:t>Step 2. Define categories and success criteria</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Category labels or cards; selected recording surface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Guide students to define two or three categories. For each category, ask what clearly belongs, what clearly does not belong, and what may be ambiguous. If categories overlap too much, narrow or rename them. Agree a simple success criterion based on new examples, not on the training examples.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name the categories, write one inclusion example and one exclusion or possible confusion for each, and agree how they will decide whether the model is useful for the narrow task.</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classes are understandable, non-sensitive, and sufficiently distinct to train and test. Students know that success will be checked with held-out examples.</w:t>
            </w:r>
          </w:p>
        </w:tc>
      </w:tr>
    </w:tbl>
    <w:p>
      <w:pPr>
        <w:pStyle w:val="5"/>
      </w:pPr>
      <w:r>
        <w:t>Step 3. Prepare and check the training examples</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8-12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Approved objects, images, cards, or non-identifiable sounds; selected tool or simulation</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Ask groups to prepare examples for each class. Check approximate balance across categories and deliberate variation within each category. Variation may include size, angle, position, background, lighting, drawing style, or another task-relevant feature. Where live capture would take too much classroom time, provide a small pre-collected base set and ask students to select, label, vary, and audit it rather than spending the stage only collecting examples. Reserve the teacher-prepared test examples and prevent students from adding personal or identifiable data. Ask: "Could the model learn the background instead of the object?"</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collect, capture, select, or arrange training examples and briefly explain the variation they included. They remove examples that are unclear, incorrectly labelled, duplicated without purpose, or privacy-sensitive.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class has a usable set of examples, no class dominates by quantity, and at least one source of variation has been planned. The test set remains unseen.</w:t>
            </w:r>
          </w:p>
        </w:tc>
      </w:tr>
    </w:tbl>
    <w:p>
      <w:pPr>
        <w:pStyle w:val="5"/>
      </w:pPr>
      <w:r>
        <w:t>Step 4. Train or simulate the model</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5-8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Selected approved tool, shared display, or unplugged classifier rule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Support students in running one training cycle or in applying the teacher-prepared simulation. Keep technical explanation brief and tool-neutral. After training, use one safe input that was not part of the training set to demonstrate how a prediction is produced. Where confidence scores are displayed, remind students that confidence is not proof of correctness.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train the model or follow the simulation, then observe the first prediction and compare it with their expected category.</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model or simulation can produce a prediction, and students can explain which examples were used for training and which input is being used for testing.</w:t>
            </w:r>
          </w:p>
        </w:tc>
      </w:tr>
    </w:tbl>
    <w:p>
      <w:pPr>
        <w:pStyle w:val="5"/>
      </w:pPr>
      <w:r>
        <w:t>Step 5. Test with unseen and challenge examples</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8-10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Held-out examples, one diagnostic challenge, one outside-scope input, selected recording surface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Require actual evidence. Students test at least one unseen example per category, one diagnostic challenge (either a variation or an ambiguous/near-boundary example), and one harmless outside-scope input. Where useful, change one condition at a time, such as background or angle, so students can identify what may have influenced the prediction. Ask them to record the input, prediction, confidence where available, judgement, and likely explanation before discussing changes.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run the tests, record what happened, and identify one reliable behaviour, error, shortcut, or uncertainty. They do not hide unexpected or negative results.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group has evidence from new examples, including one diagnostic challenge and one outside-scope test.</w:t>
            </w:r>
          </w:p>
        </w:tc>
      </w:tr>
    </w:tbl>
    <w:p>
      <w:pPr>
        <w:pStyle w:val="5"/>
      </w:pPr>
      <w:r>
        <w:t>Step 6. Choose Improve or Keep, then verify</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6-8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Test evidence, training examples, selected tool or simulation</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Ask each group to choose one focused decision. Improve may mean adding missing variation, correcting a label, removing a misleading example, clarifying a category, or changing the task scope. Keep is valid when the evidence supports the current narrow purpose. Allow one retraining cycle only, then match the verification to the decision: repeat the issue-revealing input after Improve, or use one unused confirmation example after Keep.</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make one focused change or justify Keep, then run the matched verification test and record the result honestly.</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has an evidence-based decision and a verification result such as Improved / Partly improved / Not improved or Confirmed / Not confirmed.</w:t>
            </w:r>
          </w:p>
        </w:tc>
      </w:tr>
    </w:tbl>
    <w:p>
      <w:pPr>
        <w:pStyle w:val="5"/>
      </w:pPr>
      <w:r>
        <w:t>Step 7. Explain limitations and make the project connection</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4-6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Selected student output format; optional chatbot design from CORE 2</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Ask students to communicate only the protected evidence: task, classes, one training-set choice, one test result, decision, verification, and limitation. Where appropriate, ask how a model category could trigger a chatbot response route. Correct any suggestion that the classifier is the chatbot or that this activity reproduces the training of a generative AI system. Also ask: "Does having the same number of examples in each category mean that the training set represents every real situation or user? Why not?" Clarify that approximate balance reduces one obvious source of distortion, but a small balanced classroom dataset is not automatically representative, fair, or reliable beyond the conditions tested.</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complete the selected output and state one current strength, one remaining limitation, and one reason a person must still check predictions or decide how they are used.</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final explanation is concise, evidence-based, and accurate about both the model's capability and its limits.</w:t>
            </w:r>
          </w:p>
        </w:tc>
      </w:tr>
    </w:tbl>
    <w:p>
      <w:pPr>
        <w:pStyle w:val="5"/>
      </w:pPr>
      <w:r>
        <w:t>Teacher-selected output choices</w:t>
      </w:r>
    </w:p>
    <w:p>
      <w:pPr/>
      <w:r>
        <w:t>Choose one primary output. The same minimum evidence should be visible in each option.</w:t>
      </w:r>
    </w:p>
    <w:tbl>
      <w:tblPr>
        <w:tblStyle w:val="ab"/>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79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Output option</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What students include</w:t>
            </w:r>
          </w:p>
        </w:tc>
        <w:tc>
          <w:tcPr>
            <w:tcW w:type="dxa" w:w="432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Suitable when...</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Compact model evidence note</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Purpose, classes, training-set choice, three or more key test results, decision, verification, and limitation.</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teacher wants a quick written record or a replacement for a full worksheet.</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One-slide or mini-poster report</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 small visual summary of the same evidence, with one image, table, or diagram selected by the students.</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extension connects to communication, digital literacy, or a short class gallery.</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Short live demonstration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show one expected-use test, one diagnostic challenge, one outside-scope test, their decision, and the remaining limitation while the teacher records completion. The teacher's brief observation record counts as the activity evidence; no additional written output is required.</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Writing time is limited or the activity is teacher-led on a shared model.</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Model-to-chatbot connection sketch</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 simple flow such as model prediction -&gt; selected chatbot route -&gt; response -&gt; human check, plus one limitation.</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OPT A follows CORE 2 or CORE 3 and the teacher wants an explicit systems-thinking bridge.</w:t>
            </w:r>
          </w:p>
        </w:tc>
      </w:tr>
    </w:tbl>
    <w:p>
      <w:pPr>
        <w:pStyle w:val="5"/>
      </w:pPr>
      <w:r>
        <w:t>Model testing protocol</w:t>
      </w:r>
    </w:p>
    <w:p>
      <w:pPr/>
      <w:r>
        <w:t>Training examples show what the model has already seen. Evidence of performance must come from held-out or genuinely new inputs. The minimum protocol uses one unseen expected example per category, one diagnostic challenge, and one outside-scope example. Where time allows, add a second unseen example per category or the diagnostic challenge type not selected.</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Test mission</w:t>
            </w:r>
          </w:p>
        </w:tc>
        <w:tc>
          <w:tcPr>
            <w:tcW w:type="dxa" w:w="208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Where the input comes from</w:t>
            </w:r>
          </w:p>
        </w:tc>
        <w:tc>
          <w:tcPr>
            <w:tcW w:type="dxa" w:w="29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What it checks</w:t>
            </w:r>
          </w:p>
        </w:tc>
        <w:tc>
          <w:tcPr>
            <w:tcW w:type="dxa" w:w="237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Minimum evidence</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1. Unseen expected examples</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Reserved examples from each category</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model can apply the learned pattern to new examples that fit the intended scope.</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unseen example per category, with prediction and short judgement.</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2. Diagnostic challenge</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safe variation or one ambiguous/near-boundary example</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model relies on an accidental cue or whether the category boundaries are clear enough.</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Changed or ambiguous condition, prediction, confidence where available, and one evidence-based explanation.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3. Outside-scope example</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A harmless input that belongs to none of the classes</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model is forced to choose a class even when the input does not belong.</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Prediction and one statement about why human judgement or an "unknown" mechanism may be needed.</w:t>
            </w:r>
          </w:p>
        </w:tc>
      </w:tr>
    </w:tbl>
    <w:tbl>
      <w:tblPr>
        <w:tblStyle w:val="ab"/>
        <w:tblW w:w="9360" w:type="dxa"/>
        <w:jc w:val="center"/>
        <w:tblLook w:val="04A0" w:firstRow="1" w:lastRow="0" w:firstColumn="1" w:lastColumn="0" w:noHBand="0" w:noVBand="1"/>
      </w:tblPr>
      <w:tblGrid>
        <w:gridCol w:w="9360"/>
      </w:tblGrid>
      <w:tr w:rsidR="009D0063" w14:paraId="3FA40ADF" w14:textId="77777777">
        <w:trPr>
          <w:cantSplit/>
          <w:jc w:val="center"/>
        </w:trPr>
        <w:tc>
          <w:tcPr>
            <w:tcW w:w="9360" w:type="dxa"/>
            <w:shd w:val="clear" w:color="auto" w:fill="D9EAF7"/>
            <w:tcMar>
              <w:top w:w="120" w:type="dxa"/>
              <w:left w:w="140" w:type="dxa"/>
              <w:bottom w:w="120" w:type="dxa"/>
              <w:right w:w="140" w:type="dxa"/>
            </w:tcMar>
            <w:vAlign w:val="center"/>
            <w:tcBorders>
              <w:top w:val="single" w:sz="6" w:space="0" w:color="9FBAD2"/>
              <w:left w:val="single" w:sz="6" w:space="0" w:color="9FBAD2"/>
              <w:bottom w:val="single" w:sz="6" w:space="0" w:color="9FBAD2"/>
              <w:right w:val="single" w:sz="6" w:space="0" w:color="9FBAD2"/>
            </w:tcBorders>
          </w:tcPr>
          <w:p>
            <w:pPr>
              <w:spacing w:before="0" w:after="40" w:line="240" w:lineRule="auto"/>
            </w:pPr>
            <w:r>
              <w:rPr>
                <w:rFonts w:ascii="Calibri" w:hAnsi="Calibri" w:eastAsia="Calibri"/>
                <w:b/>
                <w:i w:val="0"/>
                <w:color w:val="0F4761"/>
                <w:sz w:val="18"/>
              </w:rPr>
              <w:t>Evidence rule</w:t>
            </w:r>
          </w:p>
          <w:p>
            <w:pPr>
              <w:spacing w:before="0" w:after="0" w:line="240" w:lineRule="auto"/>
            </w:pPr>
            <w:r>
              <w:rPr>
                <w:rFonts w:ascii="Calibri" w:hAnsi="Calibri" w:eastAsia="Calibri"/>
                <w:b w:val="0"/>
                <w:i w:val="0"/>
                <w:color w:val="1F1F1F"/>
                <w:sz w:val="18"/>
              </w:rPr>
              <w:t>Do not use training examples as proof that the model works. Students should judge the model from unseen examples and record what actually happened. A surprising result, partial improvement, or failed re-test is valid evidence when it is reported honestly.</w:t>
            </w:r>
          </w:p>
        </w:tc>
      </w:tr>
    </w:tbl>
    <w:tbl>
      <w:tblPr>
        <w:tblW w:w="9360" w:type="dxa"/>
        <w:jc w:val="center"/>
        <w:tblLayout w:type="fixed"/>
        <w:tblLook w:val="04A0" w:firstRow="1" w:lastRow="0" w:firstColumn="1" w:lastColumn="0" w:noHBand="0" w:noVBand="1"/>
      </w:tblPr>
      <w:tblGrid>
        <w:gridCol w:w="9360"/>
      </w:tblGrid>
      <w:tr w:rsidR="009D0063" w14:paraId="5A9D2D52" w14:textId="77777777">
        <w:trPr>
          <w:cantSplit/>
          <w:jc w:val="center"/>
        </w:trPr>
        <w:tc>
          <w:tcPr>
            <w:tcW w:w="9360" w:type="dxa"/>
            <w:tcBorders>
              <w:top w:val="single" w:sz="6" w:space="0" w:color="1A7A4A"/>
              <w:left w:val="single" w:sz="6" w:space="0" w:color="1A7A4A"/>
              <w:bottom w:val="single" w:sz="6" w:space="0" w:color="1A7A4A"/>
              <w:right w:val="single" w:sz="6" w:space="0" w:color="1A7A4A"/>
            </w:tcBorders>
            <w:shd w:val="clear" w:color="auto" w:fill="D6EFE2"/>
            <w:tcMar>
              <w:top w:w="100" w:type="dxa"/>
              <w:left w:w="140" w:type="dxa"/>
              <w:bottom w:w="100" w:type="dxa"/>
              <w:right w:w="140" w:type="dxa"/>
            </w:tcMar>
          </w:tcPr>
          <w:p>
            <w:pPr>
              <w:spacing w:before="0" w:after="60" w:line="240" w:lineRule="auto"/>
            </w:pPr>
            <w:r>
              <w:rPr>
                <w:rFonts w:ascii="Calibri" w:hAnsi="Calibri" w:eastAsia="Calibri"/>
                <w:b/>
                <w:i w:val="0"/>
                <w:color w:val="1A7A4A"/>
                <w:sz w:val="20"/>
              </w:rPr>
              <w:t>🎨 Creativity Opportunity</w:t>
            </w:r>
          </w:p>
          <w:p>
            <w:pPr>
              <w:spacing w:before="0" w:after="20" w:line="240" w:lineRule="auto"/>
              <w:ind w:left="331" w:hanging="187"/>
            </w:pPr>
            <w:r>
              <w:rPr>
                <w:rFonts w:ascii="Calibri" w:hAnsi="Calibri" w:eastAsia="Calibri"/>
                <w:b w:val="0"/>
                <w:i w:val="0"/>
                <w:color w:val="1F1F1F"/>
                <w:sz w:val="20"/>
              </w:rPr>
              <w:t>• Students can choose a safe local context and design category labels that are useful to a specific user, rather than accepting generic labels.</w:t>
            </w:r>
          </w:p>
          <w:p>
            <w:pPr>
              <w:spacing w:before="0" w:after="20" w:line="240" w:lineRule="auto"/>
              <w:ind w:left="331" w:hanging="187"/>
            </w:pPr>
            <w:r>
              <w:rPr>
                <w:rFonts w:ascii="Calibri" w:hAnsi="Calibri" w:eastAsia="Calibri"/>
                <w:b w:val="0"/>
                <w:i w:val="0"/>
                <w:color w:val="1F1F1F"/>
                <w:sz w:val="20"/>
              </w:rPr>
              <w:t>• Groups can explore how the same object or image looks under different angles, backgrounds, distances, drawing styles, or lighting conditions and design purposeful variation.</w:t>
            </w:r>
          </w:p>
          <w:p>
            <w:pPr>
              <w:spacing w:before="0" w:after="20" w:line="240" w:lineRule="auto"/>
              <w:ind w:left="331" w:hanging="187"/>
            </w:pPr>
            <w:r>
              <w:rPr>
                <w:rFonts w:ascii="Calibri" w:hAnsi="Calibri" w:eastAsia="Calibri"/>
                <w:b w:val="0"/>
                <w:i w:val="0"/>
                <w:color w:val="1F1F1F"/>
                <w:sz w:val="20"/>
              </w:rPr>
              <w:t>• Students can redesign one category boundary or training example set to make the model more understandable and reliable without making the model larger.</w:t>
            </w:r>
          </w:p>
          <w:p>
            <w:pPr>
              <w:spacing w:before="0" w:after="20" w:line="240" w:lineRule="auto"/>
              <w:ind w:left="331" w:hanging="187"/>
            </w:pPr>
            <w:r>
              <w:rPr>
                <w:rFonts w:ascii="Calibri" w:hAnsi="Calibri" w:eastAsia="Calibri"/>
                <w:b w:val="0"/>
                <w:i w:val="0"/>
                <w:color w:val="1F1F1F"/>
                <w:sz w:val="20"/>
              </w:rPr>
              <w:t>• A model prediction can become the first step in a wider system sketch, such as selecting a chatbot route, displaying guidance, or asking for human confirmation.</w:t>
            </w:r>
          </w:p>
          <w:p>
            <w:pPr>
              <w:spacing w:before="0" w:after="20" w:line="240" w:lineRule="auto"/>
              <w:ind w:left="331" w:hanging="187"/>
            </w:pPr>
            <w:r>
              <w:rPr>
                <w:rFonts w:ascii="Calibri" w:hAnsi="Calibri" w:eastAsia="Calibri"/>
                <w:b w:val="0"/>
                <w:i w:val="0"/>
                <w:color w:val="1F1F1F"/>
                <w:sz w:val="20"/>
              </w:rPr>
              <w:t>• Students may create an "unknown" or "needs human check" response at the system-design level, even when the selected classifier cannot produce that response automatically.</w:t>
            </w:r>
          </w:p>
        </w:tc>
      </w:tr>
      <w:tr w:rsidR="009D0063" w14:paraId="5FAE33DE" w14:textId="77777777">
        <w:trPr>
          <w:cantSplit/>
          <w:jc w:val="center"/>
        </w:trPr>
        <w:tc>
          <w:tcPr>
            <w:tcW w:w="9360" w:type="dxa"/>
            <w:tcBorders>
              <w:top w:val="single" w:sz="6" w:space="0" w:color="C05A00"/>
              <w:left w:val="single" w:sz="6" w:space="0" w:color="C05A00"/>
              <w:bottom w:val="single" w:sz="6" w:space="0" w:color="C05A00"/>
              <w:right w:val="single" w:sz="6" w:space="0" w:color="C05A00"/>
            </w:tcBorders>
            <w:shd w:val="clear" w:color="auto" w:fill="FDEBD0"/>
            <w:tcMar>
              <w:top w:w="100" w:type="dxa"/>
              <w:left w:w="140" w:type="dxa"/>
              <w:bottom w:w="100" w:type="dxa"/>
              <w:right w:w="140" w:type="dxa"/>
            </w:tcMar>
          </w:tcPr>
          <w:p>
            <w:pPr>
              <w:spacing w:before="0" w:after="60" w:line="240" w:lineRule="auto"/>
            </w:pPr>
            <w:r>
              <w:rPr>
                <w:rFonts w:ascii="Calibri" w:hAnsi="Calibri" w:eastAsia="Calibri"/>
                <w:b/>
                <w:i w:val="0"/>
                <w:color w:val="C05A00"/>
                <w:sz w:val="20"/>
              </w:rPr>
              <w:t>🔍 Critical Thinking Opportunities</w:t>
            </w:r>
          </w:p>
          <w:p>
            <w:pPr>
              <w:spacing w:before="0" w:after="20" w:line="240" w:lineRule="auto"/>
              <w:ind w:left="331" w:hanging="187"/>
            </w:pPr>
            <w:r>
              <w:rPr>
                <w:rFonts w:ascii="Calibri" w:hAnsi="Calibri" w:eastAsia="Calibri"/>
                <w:b w:val="0"/>
                <w:i w:val="0"/>
                <w:color w:val="1F1F1F"/>
                <w:sz w:val="20"/>
              </w:rPr>
              <w:t>• Who decided the categories, and what useful examples or perspectives may have been left outside them?</w:t>
            </w:r>
          </w:p>
          <w:p>
            <w:pPr>
              <w:spacing w:before="0" w:after="20" w:line="240" w:lineRule="auto"/>
              <w:ind w:left="331" w:hanging="187"/>
            </w:pPr>
            <w:r>
              <w:rPr>
                <w:rFonts w:ascii="Calibri" w:hAnsi="Calibri" w:eastAsia="Calibri"/>
                <w:b w:val="0"/>
                <w:i w:val="0"/>
                <w:color w:val="1F1F1F"/>
                <w:sz w:val="20"/>
              </w:rPr>
              <w:t>• Is the training set approximately balanced, and does each category contain meaningful variation rather than repeated near-duplicates?</w:t>
            </w:r>
          </w:p>
          <w:p>
            <w:pPr>
              <w:spacing w:before="0" w:after="20" w:line="240" w:lineRule="auto"/>
              <w:ind w:left="331" w:hanging="187"/>
            </w:pPr>
            <w:r>
              <w:rPr>
                <w:rFonts w:ascii="Calibri" w:hAnsi="Calibri" w:eastAsia="Calibri"/>
                <w:b w:val="0"/>
                <w:i w:val="0"/>
                <w:color w:val="1F1F1F"/>
                <w:sz w:val="20"/>
              </w:rPr>
              <w:t>• Could the model be learning the background, position, lighting, or another shortcut instead of the feature students intended?</w:t>
            </w:r>
          </w:p>
          <w:p>
            <w:pPr>
              <w:spacing w:before="0" w:after="20" w:line="240" w:lineRule="auto"/>
              <w:ind w:left="331" w:hanging="187"/>
            </w:pPr>
            <w:r>
              <w:rPr>
                <w:rFonts w:ascii="Calibri" w:hAnsi="Calibri" w:eastAsia="Calibri"/>
                <w:b w:val="0"/>
                <w:i w:val="0"/>
                <w:color w:val="1F1F1F"/>
                <w:sz w:val="20"/>
              </w:rPr>
              <w:t>• Does a high confidence score match the actual correctness of the prediction?</w:t>
            </w:r>
          </w:p>
          <w:p>
            <w:pPr>
              <w:spacing w:before="0" w:after="20" w:line="240" w:lineRule="auto"/>
              <w:ind w:left="331" w:hanging="187"/>
            </w:pPr>
            <w:r>
              <w:rPr>
                <w:rFonts w:ascii="Calibri" w:hAnsi="Calibri" w:eastAsia="Calibri"/>
                <w:b w:val="0"/>
                <w:i w:val="0"/>
                <w:color w:val="1F1F1F"/>
                <w:sz w:val="20"/>
              </w:rPr>
              <w:t>• What happens when an input belongs to none of the available classes? Does the system still appear more certain than it should?</w:t>
            </w:r>
          </w:p>
          <w:p>
            <w:pPr>
              <w:spacing w:before="0" w:after="20" w:line="240" w:lineRule="auto"/>
              <w:ind w:left="331" w:hanging="187"/>
            </w:pPr>
            <w:r>
              <w:rPr>
                <w:rFonts w:ascii="Calibri" w:hAnsi="Calibri" w:eastAsia="Calibri"/>
                <w:b w:val="0"/>
                <w:i w:val="0"/>
                <w:color w:val="1F1F1F"/>
                <w:sz w:val="20"/>
              </w:rPr>
              <w:t>• Which claim is supported by the evidence: "the model works", "the model works under these conditions", or "the model needs more testing"?</w:t>
            </w:r>
          </w:p>
          <w:p>
            <w:pPr>
              <w:spacing w:before="0" w:after="20" w:line="240" w:lineRule="auto"/>
              <w:ind w:left="331" w:hanging="187"/>
            </w:pPr>
            <w:r>
              <w:rPr>
                <w:rFonts w:ascii="Calibri" w:hAnsi="Calibri" w:eastAsia="Calibri"/>
                <w:b w:val="0"/>
                <w:i w:val="0"/>
                <w:color w:val="1F1F1F"/>
                <w:sz w:val="20"/>
              </w:rPr>
              <w:t>• Would the model be appropriate for a real decision affecting people? What additional evidence, safeguards, and human oversight would be needed?</w:t>
            </w:r>
          </w:p>
          <w:p>
            <w:pPr>
              <w:spacing w:before="0" w:after="20" w:line="240" w:lineRule="auto"/>
              <w:ind w:left="331" w:hanging="187"/>
            </w:pPr>
            <w:r>
              <w:rPr>
                <w:rFonts w:ascii="Calibri" w:hAnsi="Calibri" w:eastAsia="Calibri"/>
                <w:b w:val="0"/>
                <w:i w:val="0"/>
                <w:color w:val="1F1F1F"/>
                <w:sz w:val="20"/>
              </w:rPr>
              <w:t>• How is this simple classifier different from a rule-based chatbot and from a generative chatbot?</w:t>
            </w:r>
          </w:p>
        </w:tc>
      </w:tr>
    </w:tbl>
    <w:p>
      <w:pPr>
        <w:pStyle w:val="4"/>
      </w:pPr>
      <w:r>
        <w:t>Suggested GenAI Prompts for Students</w:t>
      </w:r>
    </w:p>
    <w:tbl>
      <w:tblPr>
        <w:tblW w:w="9360" w:type="dxa"/>
        <w:jc w:val="center"/>
        <w:tblLayout w:type="fixed"/>
        <w:tblLook w:val="04A0" w:firstRow="1" w:lastRow="0" w:firstColumn="1" w:lastColumn="0" w:noHBand="0" w:noVBand="1"/>
      </w:tblPr>
      <w:tblGrid>
        <w:gridCol w:w="9360"/>
      </w:tblGrid>
      <w:tr w:rsidR="009D0063" w14:paraId="40ED7290" w14:textId="77777777">
        <w:trPr>
          <w:cantSplit/>
          <w:jc w:val="center"/>
        </w:trPr>
        <w:tc>
          <w:tcPr>
            <w:tcW w:w="9360" w:type="dxa"/>
            <w:tcBorders>
              <w:top w:val="single" w:sz="6" w:space="0" w:color="9FBAD2"/>
              <w:left w:val="single" w:sz="6" w:space="0" w:color="9FBAD2"/>
              <w:bottom w:val="single" w:sz="6" w:space="0" w:color="9FBAD2"/>
              <w:right w:val="single" w:sz="6" w:space="0" w:color="9FBAD2"/>
            </w:tcBorders>
            <w:shd w:val="clear" w:color="auto" w:fill="EAF2F8"/>
            <w:tcMar>
              <w:top w:w="90" w:type="dxa"/>
              <w:left w:w="140" w:type="dxa"/>
              <w:bottom w:w="90" w:type="dxa"/>
              <w:right w:w="140" w:type="dxa"/>
            </w:tcMar>
          </w:tcPr>
          <w:p>
            <w:pPr>
              <w:spacing w:before="0" w:after="80" w:line="240" w:lineRule="auto"/>
            </w:pPr>
            <w:r>
              <w:rPr>
                <w:rFonts w:ascii="Calibri" w:hAnsi="Calibri" w:eastAsia="Calibri"/>
                <w:b w:val="0"/>
                <w:i w:val="0"/>
                <w:color w:val="1F1F1F"/>
                <w:sz w:val="20"/>
              </w:rPr>
              <w:t>Where GenAI use is available and school-approved, students may use it only after they have drafted their categories, selected training examples, or recorded their own test evidence.</w:t>
            </w:r>
          </w:p>
          <w:p>
            <w:pPr>
              <w:spacing w:before="0" w:after="0" w:line="240" w:lineRule="auto"/>
            </w:pPr>
            <w:r>
              <w:rPr>
                <w:rFonts w:ascii="Calibri" w:hAnsi="Calibri" w:eastAsia="Calibri"/>
                <w:b w:val="0"/>
                <w:i w:val="0"/>
                <w:color w:val="1F1F1F"/>
                <w:sz w:val="20"/>
              </w:rPr>
              <w:t>Students choose one prompt that supports the current decision. GenAI may suggest questions, variations, or small improvements, but it must not decide whether the model is successful. The final judgement comes from the actual model tests.</w:t>
            </w:r>
          </w:p>
        </w:tc>
      </w:tr>
    </w:tbl>
    <w:tbl>
      <w:tblPr>
        <w:tblStyle w:val="ab"/>
        <w:tblW w:type="auto" w:w="0"/>
        <w:jc w:val="center"/>
        <w:tblLayout w:type="fixed"/>
        <w:tblLook w:firstColumn="1" w:firstRow="1" w:lastColumn="0" w:lastRow="0" w:noHBand="0" w:noVBand="1" w:val="04A0"/>
      </w:tblPr>
      <w:tblGrid>
        <w:gridCol w:w="4680"/>
        <w:gridCol w:w="4680"/>
      </w:tblGrid>
      <w:tr>
        <w:trPr>
          <w:tblHeader w:val="true"/>
          <w:cantSplit/>
        </w:trPr>
        <w:tc>
          <w:tcPr>
            <w:tcW w:type="dxa" w:w="460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If students need to...</w:t>
            </w:r>
          </w:p>
        </w:tc>
        <w:tc>
          <w:tcPr>
            <w:tcW w:type="dxa" w:w="47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They choose...</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check whether the categories are clear and non-overlapping</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1 - Review our categories: "Our classification task is [task]. Our categories are [labels and definitions]. Ask us up to three questions that reveal overlap, ambiguity, or missing boundaries. Do not redesign the task for us."</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add safe and meaningful variation to the training examples</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2 - Vary our examples: "For the category [category], we currently have [brief description]. Suggest up to four safe variations in angle, background, size, or presentation. Do not suggest faces, identity, emotion, health, or personal data."</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predict possible shortcut learning</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3 - Check for shortcuts: "Our model is intended to recognise [feature]. Our examples also share [background/position/lighting details]. What accidental cue might the model learn, and what one test could reveal this?"</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design a stronger challenge test</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4 - Propose a test: "Our model has categories [labels]. Suggest one safe variation challenge and one harmless outside-scope input. Explain what each test could reveal. Do not predict the result."</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interpret an error without overclaiming</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5 - Interpret our evidence: "We tested [input]. The model predicted [result/confidence]. We expected [result]. Give two possible explanations that we can check against our training examples. Do not claim which explanation is true."</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choose one focused improvement</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6 - Suggest a small improvement: "Our evidence is [brief evidence]. Give no more than two small training-set or category changes that directly respond to it. We will choose, adapt, or reject them and re-test."</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connect the classifier to the chatbot project</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7 - Map the connection: "Our model predicts [categories]. Our chatbot has [routes/responses]. Suggest a simple model prediction -&gt; chatbot route -&gt; human check flow. State one limitation and do not describe the classifier as a generative chatbot."</w:t>
            </w:r>
          </w:p>
        </w:tc>
      </w:tr>
    </w:tbl>
    <w:p>
      <w:pPr/>
      <w:r>
        <w:t>Reusable prompt frame: "Our classification task is [task]. We trained with [brief description of examples]. We tested [input], and the model predicted [result]. Act as a design coach. Ask one checking question or give no more than two small options that respond to this evidence. Do not make the final decision for us and do not treat confidence as proof."</w:t>
      </w:r>
    </w:p>
    <w:p>
      <w:pPr/>
      <w:r>
        <w:t>Important: Students should not upload personal, identifiable, sensitive, school-confidential material, or material they do not have permission to use to a GenAI tool. GenAI suggestions about data quality or model behaviour remain hypotheses until students compare them with the actual training examples and test results.</w:t>
      </w:r>
    </w:p>
    <w:p>
      <w:pPr>
        <w:pStyle w:val="3"/>
      </w:pPr>
      <w:r>
        <w:t>Preparing the Training Set and Resources</w:t>
      </w:r>
    </w:p>
    <w:tbl>
      <w:tblPr>
        <w:tblW w:w="9360" w:type="dxa"/>
        <w:jc w:val="center"/>
        <w:tblLayout w:type="fixed"/>
        <w:tblLook w:val="04A0" w:firstRow="1" w:lastRow="0" w:firstColumn="1" w:lastColumn="0" w:noHBand="0" w:noVBand="1"/>
      </w:tblPr>
      <w:tblGrid>
        <w:gridCol w:w="9360"/>
      </w:tblGrid>
      <w:tr w:rsidR="009D0063" w14:paraId="5A5B8E76"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EFF6FB"/>
            <w:tcMar>
              <w:top w:w="100" w:type="dxa"/>
              <w:left w:w="140" w:type="dxa"/>
              <w:bottom w:w="100" w:type="dxa"/>
              <w:right w:w="140" w:type="dxa"/>
            </w:tcMar>
          </w:tcPr>
          <w:p>
            <w:pPr>
              <w:spacing w:before="0" w:after="0" w:line="240" w:lineRule="auto"/>
            </w:pPr>
            <w:r>
              <w:rPr>
                <w:rFonts w:ascii="Calibri" w:hAnsi="Calibri" w:eastAsia="Calibri"/>
                <w:b w:val="0"/>
                <w:i w:val="0"/>
                <w:color w:val="1F1F1F"/>
                <w:sz w:val="20"/>
              </w:rPr>
              <w:t>OPT A does not use a fixed project dataset. The teacher prepares or approves a small local training context. Select a narrow task, an approved tool or simulation, and two or three safe categories. Prefer non-personal objects, teacher-created cards, or appropriately licensed images. Avoid faces, names, voices, identity, emotion, health, ability, behaviour, or other sensitive human attributes.</w:t>
            </w:r>
          </w:p>
          <w:p>
            <w:pPr>
              <w:spacing w:before="0" w:after="0" w:line="240" w:lineRule="auto"/>
            </w:pPr>
            <w:r>
              <w:rPr>
                <w:rFonts w:ascii="Calibri" w:hAnsi="Calibri" w:eastAsia="Calibri"/>
                <w:b w:val="0"/>
                <w:i w:val="0"/>
                <w:color w:val="1F1F1F"/>
                <w:sz w:val="20"/>
              </w:rPr>
              <w:t>Prepare approximately balanced examples with purposeful variation within each class. The exact quantity depends on the selected tool and modality; the educational requirement is that no category dominates by quantity and that students can explain at least one type of variation. Reserve at least one unseen example per category, one diagnostic challenge (variation or ambiguous/near-boundary), and one harmless outside-scope input.</w:t>
            </w:r>
          </w:p>
          <w:p>
            <w:pPr>
              <w:spacing w:before="0" w:after="0" w:line="240" w:lineRule="auto"/>
            </w:pPr>
            <w:r>
              <w:rPr>
                <w:rFonts w:ascii="Calibri" w:hAnsi="Calibri" w:eastAsia="Calibri"/>
                <w:b w:val="0"/>
                <w:i w:val="0"/>
                <w:color w:val="1F1F1F"/>
                <w:sz w:val="20"/>
              </w:rPr>
              <w:t>Test the full procedure before the lesson, including access, training time, prediction display, saving, and deletion or storage arrangements. Decide whether groups will train separate models, contribute to a shared model, or use an unplugged simulation. Prepare one compact recording surface and one contingency route so technical failure does not remove the testing and evidence cycle.</w:t>
            </w:r>
          </w:p>
        </w:tc>
      </w:tr>
      <w:tr w:rsidR="009D0063" w14:paraId="7322290F"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F2F2F2"/>
            <w:tcMar>
              <w:top w:w="100" w:type="dxa"/>
              <w:left w:w="140" w:type="dxa"/>
              <w:bottom w:w="100" w:type="dxa"/>
              <w:right w:w="140" w:type="dxa"/>
            </w:tcMar>
          </w:tcPr>
          <w:p>
            <w:pPr>
              <w:spacing w:before="0" w:after="80" w:line="240" w:lineRule="auto"/>
            </w:pPr>
            <w:r>
              <w:rPr>
                <w:rFonts w:ascii="Calibri" w:hAnsi="Calibri" w:eastAsia="Calibri"/>
                <w:b/>
                <w:i w:val="0"/>
                <w:color w:val="1F5C99"/>
                <w:sz w:val="20"/>
              </w:rPr>
              <w:t>📌 Teacher Note(s)</w:t>
            </w:r>
          </w:p>
          <w:p>
            <w:pPr>
              <w:spacing w:before="0" w:after="20" w:line="240" w:lineRule="auto"/>
              <w:ind w:left="331" w:hanging="187"/>
            </w:pPr>
            <w:r>
              <w:rPr>
                <w:rFonts w:ascii="Calibri" w:hAnsi="Calibri" w:eastAsia="Calibri"/>
                <w:b w:val="0"/>
                <w:i w:val="0"/>
                <w:color w:val="1F1F1F"/>
                <w:sz w:val="20"/>
              </w:rPr>
              <w:t>• Treat OPT A as a Model Training and Testing Lab, not as a software tutorial or competition for the highest accuracy.</w:t>
            </w:r>
          </w:p>
          <w:p>
            <w:pPr>
              <w:spacing w:before="0" w:after="20" w:line="240" w:lineRule="auto"/>
              <w:ind w:left="331" w:hanging="187"/>
            </w:pPr>
            <w:r>
              <w:rPr>
                <w:rFonts w:ascii="Calibri" w:hAnsi="Calibri" w:eastAsia="Calibri"/>
                <w:b w:val="0"/>
                <w:i w:val="0"/>
                <w:color w:val="1F1F1F"/>
                <w:sz w:val="20"/>
              </w:rPr>
              <w:t>• This is an optional extension. The three CORE modules remain a complete modular pathway without it.</w:t>
            </w:r>
          </w:p>
          <w:p>
            <w:pPr>
              <w:spacing w:before="0" w:after="20" w:line="240" w:lineRule="auto"/>
              <w:ind w:left="331" w:hanging="187"/>
            </w:pPr>
            <w:r>
              <w:rPr>
                <w:rFonts w:ascii="Calibri" w:hAnsi="Calibri" w:eastAsia="Calibri"/>
                <w:b w:val="0"/>
                <w:i w:val="0"/>
                <w:color w:val="1F1F1F"/>
                <w:sz w:val="20"/>
              </w:rPr>
              <w:t>• Use the default sequence: define categories -&gt; prepare examples -&gt; train -&gt; test unseen inputs -&gt; decide -&gt; verify -&gt; explain limitations.</w:t>
            </w:r>
          </w:p>
          <w:p>
            <w:pPr>
              <w:spacing w:before="0" w:after="20" w:line="240" w:lineRule="auto"/>
              <w:ind w:left="331" w:hanging="187"/>
            </w:pPr>
            <w:r>
              <w:rPr>
                <w:rFonts w:ascii="Calibri" w:hAnsi="Calibri" w:eastAsia="Calibri"/>
                <w:b w:val="0"/>
                <w:i w:val="0"/>
                <w:color w:val="1F1F1F"/>
                <w:sz w:val="20"/>
              </w:rPr>
              <w:t>• Make the distinction between supervised classification and generative chatbot training explicit. Do not imply that the simple model reproduces how a large language model is trained.</w:t>
            </w:r>
          </w:p>
          <w:p>
            <w:pPr>
              <w:spacing w:before="0" w:after="20" w:line="240" w:lineRule="auto"/>
              <w:ind w:left="331" w:hanging="187"/>
            </w:pPr>
            <w:r>
              <w:rPr>
                <w:rFonts w:ascii="Calibri" w:hAnsi="Calibri" w:eastAsia="Calibri"/>
                <w:b w:val="0"/>
                <w:i w:val="0"/>
                <w:color w:val="1F1F1F"/>
                <w:sz w:val="20"/>
              </w:rPr>
              <w:t>• Prefer non-personal image or object classification. Do not use tasks that classify people by identity, emotion, personality, intelligence, health, risk, behaviour, or protected characteristics.</w:t>
            </w:r>
          </w:p>
          <w:p>
            <w:pPr>
              <w:spacing w:before="0" w:after="20" w:line="240" w:lineRule="auto"/>
              <w:ind w:left="331" w:hanging="187"/>
            </w:pPr>
            <w:r>
              <w:rPr>
                <w:rFonts w:ascii="Calibri" w:hAnsi="Calibri" w:eastAsia="Calibri"/>
                <w:b w:val="0"/>
                <w:i w:val="0"/>
                <w:color w:val="1F1F1F"/>
                <w:sz w:val="20"/>
              </w:rPr>
              <w:t>• Check school policy, age requirements, data protection, account access, and the current privacy conditions of any selected tool before classroom use.</w:t>
            </w:r>
          </w:p>
          <w:p>
            <w:pPr>
              <w:spacing w:before="0" w:after="20" w:line="240" w:lineRule="auto"/>
              <w:ind w:left="331" w:hanging="187"/>
            </w:pPr>
            <w:r>
              <w:rPr>
                <w:rFonts w:ascii="Calibri" w:hAnsi="Calibri" w:eastAsia="Calibri"/>
                <w:b w:val="0"/>
                <w:i w:val="0"/>
                <w:color w:val="1F1F1F"/>
                <w:sz w:val="20"/>
              </w:rPr>
              <w:t>• Balance does not mean representativeness. A small classroom dataset remains limited even when each class contains the same number of examples.</w:t>
            </w:r>
          </w:p>
          <w:p>
            <w:pPr>
              <w:spacing w:before="0" w:after="20" w:line="240" w:lineRule="auto"/>
              <w:ind w:left="331" w:hanging="187"/>
            </w:pPr>
            <w:r>
              <w:rPr>
                <w:rFonts w:ascii="Calibri" w:hAnsi="Calibri" w:eastAsia="Calibri"/>
                <w:b w:val="0"/>
                <w:i w:val="0"/>
                <w:color w:val="1F1F1F"/>
                <w:sz w:val="20"/>
              </w:rPr>
              <w:t>• Reserve test examples. Training accuracy or successful predictions on familiar examples are not enough to support a claim about new inputs.</w:t>
            </w:r>
          </w:p>
          <w:p>
            <w:pPr>
              <w:spacing w:before="0" w:after="20" w:line="240" w:lineRule="auto"/>
              <w:ind w:left="331" w:hanging="187"/>
            </w:pPr>
            <w:r>
              <w:rPr>
                <w:rFonts w:ascii="Calibri" w:hAnsi="Calibri" w:eastAsia="Calibri"/>
                <w:b w:val="0"/>
                <w:i w:val="0"/>
                <w:color w:val="1F1F1F"/>
                <w:sz w:val="20"/>
              </w:rPr>
              <w:t>• Treat confidence scores as model outputs, not as guarantees. Require students to compare confidence with actual correctness and context.</w:t>
            </w:r>
          </w:p>
          <w:p>
            <w:pPr>
              <w:spacing w:before="0" w:after="20" w:line="240" w:lineRule="auto"/>
              <w:ind w:left="331" w:hanging="187"/>
            </w:pPr>
            <w:r>
              <w:rPr>
                <w:rFonts w:ascii="Calibri" w:hAnsi="Calibri" w:eastAsia="Calibri"/>
                <w:b w:val="0"/>
                <w:i w:val="0"/>
                <w:color w:val="1F1F1F"/>
                <w:sz w:val="20"/>
              </w:rPr>
              <w:t>• Use the outside-scope test to show that a classifier may still produce a label when none of its categories is appropriate.</w:t>
            </w:r>
          </w:p>
          <w:p>
            <w:pPr>
              <w:spacing w:before="0" w:after="20" w:line="240" w:lineRule="auto"/>
              <w:ind w:left="331" w:hanging="187"/>
            </w:pPr>
            <w:r>
              <w:rPr>
                <w:rFonts w:ascii="Calibri" w:hAnsi="Calibri" w:eastAsia="Calibri"/>
                <w:b w:val="0"/>
                <w:i w:val="0"/>
                <w:color w:val="1F1F1F"/>
                <w:sz w:val="20"/>
              </w:rPr>
              <w:t>• Do not force an improvement. Keep is valid when the current narrow purpose is supported by evidence, but students should still state the limits of that evidence.</w:t>
            </w:r>
          </w:p>
          <w:p>
            <w:pPr>
              <w:spacing w:before="0" w:after="20" w:line="240" w:lineRule="auto"/>
              <w:ind w:left="331" w:hanging="187"/>
            </w:pPr>
            <w:r>
              <w:rPr>
                <w:rFonts w:ascii="Calibri" w:hAnsi="Calibri" w:eastAsia="Calibri"/>
                <w:b w:val="0"/>
                <w:i w:val="0"/>
                <w:color w:val="1F1F1F"/>
                <w:sz w:val="20"/>
              </w:rPr>
              <w:t>• Limit retraining to one focused cycle. Repeated trial-and-error without a reason can hide rather than strengthen the learning.</w:t>
            </w:r>
          </w:p>
          <w:p>
            <w:pPr>
              <w:spacing w:before="0" w:after="20" w:line="240" w:lineRule="auto"/>
              <w:ind w:left="331" w:hanging="187"/>
            </w:pPr>
            <w:r>
              <w:rPr>
                <w:rFonts w:ascii="Calibri" w:hAnsi="Calibri" w:eastAsia="Calibri"/>
                <w:b w:val="0"/>
                <w:i w:val="0"/>
                <w:color w:val="1F1F1F"/>
                <w:sz w:val="20"/>
              </w:rPr>
              <w:t>• The chatbot connection is optional. Where used, describe the classifier as one component that may route an input, not as the full chatbot.</w:t>
            </w:r>
          </w:p>
          <w:p>
            <w:pPr>
              <w:spacing w:before="0" w:after="20" w:line="240" w:lineRule="auto"/>
              <w:ind w:left="331" w:hanging="187"/>
            </w:pPr>
            <w:r>
              <w:rPr>
                <w:rFonts w:ascii="Calibri" w:hAnsi="Calibri" w:eastAsia="Calibri"/>
                <w:b w:val="0"/>
                <w:i w:val="0"/>
                <w:color w:val="1F1F1F"/>
                <w:sz w:val="20"/>
              </w:rPr>
              <w:t>• Use GenAI only after student thinking and only with non-sensitive information. Its suggestions are hypotheses, not model evidence.</w:t>
            </w:r>
          </w:p>
          <w:p>
            <w:pPr>
              <w:spacing w:before="0" w:after="20" w:line="240" w:lineRule="auto"/>
              <w:ind w:left="331" w:hanging="187"/>
            </w:pPr>
            <w:r>
              <w:rPr>
                <w:rFonts w:ascii="Calibri" w:hAnsi="Calibri" w:eastAsia="Calibri"/>
                <w:b w:val="0"/>
                <w:i w:val="0"/>
                <w:color w:val="1F1F1F"/>
                <w:sz w:val="20"/>
              </w:rPr>
              <w:t>• Collect one primary output only. A concise evidence note, short demonstration, one slide, or system sketch is sufficient.</w:t>
            </w:r>
          </w:p>
        </w:tc>
      </w:tr>
    </w:tbl>
    <w:sectPr w:rsidR="00F904B6">
      <w:headerReference w:type="default" r:id="rId7"/>
      <w:footerReference w:type="even" r:id="rId8"/>
      <w:footerReference w:type="default" r:id="rId9"/>
      <w:footerReference w:type="firs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B335" w14:textId="77777777" w:rsidR="002171B6" w:rsidRDefault="002171B6">
      <w:pPr>
        <w:spacing w:after="0" w:line="240" w:lineRule="auto"/>
      </w:pPr>
      <w:r>
        <w:separator/>
      </w:r>
    </w:p>
  </w:endnote>
  <w:endnote w:type="continuationSeparator" w:id="0">
    <w:p w14:paraId="6CA52D8D" w14:textId="77777777" w:rsidR="002171B6" w:rsidRDefault="00217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4490" w14:textId="77777777" w:rsidR="009D0063" w:rsidRDefault="009D00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94EA" w14:textId="77777777" w:rsidR="009D0063" w:rsidRDefault="009D00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039A" w14:textId="77777777" w:rsidR="009D0063" w:rsidRDefault="009D00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34A1" w14:textId="77777777" w:rsidR="002171B6" w:rsidRDefault="002171B6">
      <w:pPr>
        <w:spacing w:after="0" w:line="240" w:lineRule="auto"/>
      </w:pPr>
      <w:r>
        <w:separator/>
      </w:r>
    </w:p>
  </w:footnote>
  <w:footnote w:type="continuationSeparator" w:id="0">
    <w:p w14:paraId="49E2E29F" w14:textId="77777777" w:rsidR="002171B6" w:rsidRDefault="00217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C7CF" w14:textId="77777777" w:rsidR="009D0063" w:rsidRDefault="00000000">
    <w:pPr>
      <w:rPr>
        <w:lang w:val="el-GR"/>
      </w:rPr>
    </w:pPr>
    <w:r>
      <w:rPr>
        <w:noProof/>
      </w:rPr>
      <w:drawing>
        <wp:inline distT="114300" distB="114300" distL="114300" distR="114300" wp14:anchorId="3A09A2F9" wp14:editId="1EBE0041">
          <wp:extent cx="2392933" cy="257594"/>
          <wp:effectExtent l="0" t="0" r="0" b="9525"/>
          <wp:docPr id="138744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4A3C70"/>
    <w:multiLevelType w:val="hybridMultilevel"/>
    <w:tmpl w:val="5B1831C8"/>
    <w:lvl w:ilvl="0" w:tplc="FF120DEC">
      <w:numFmt w:val="bullet"/>
      <w:lvlText w:val="·"/>
      <w:lvlJc w:val="left"/>
      <w:pPr>
        <w:ind w:left="720" w:hanging="360"/>
      </w:pPr>
      <w:rPr>
        <w:rFonts w:ascii="Calibri Light" w:eastAsia="Arial" w:hAnsi="Calibri Light" w:cs="Calibri Light"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57FDA"/>
    <w:multiLevelType w:val="hybridMultilevel"/>
    <w:tmpl w:val="336AB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8"/>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9"/>
  </w:num>
  <w:num w:numId="9" w16cid:durableId="2099669759">
    <w:abstractNumId w:val="5"/>
  </w:num>
  <w:num w:numId="10" w16cid:durableId="656304197">
    <w:abstractNumId w:val="10"/>
  </w:num>
  <w:num w:numId="11" w16cid:durableId="1457798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171B6"/>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87333"/>
    <w:rsid w:val="006B218C"/>
    <w:rsid w:val="0070094B"/>
    <w:rsid w:val="0071339C"/>
    <w:rsid w:val="00723E8C"/>
    <w:rsid w:val="00731F66"/>
    <w:rsid w:val="00737E80"/>
    <w:rsid w:val="007A6029"/>
    <w:rsid w:val="007B05FB"/>
    <w:rsid w:val="007B40B3"/>
    <w:rsid w:val="007C73DB"/>
    <w:rsid w:val="007D48C9"/>
    <w:rsid w:val="00805C72"/>
    <w:rsid w:val="008308D3"/>
    <w:rsid w:val="008437BB"/>
    <w:rsid w:val="00850C7D"/>
    <w:rsid w:val="0089707E"/>
    <w:rsid w:val="008A4EA0"/>
    <w:rsid w:val="008B1252"/>
    <w:rsid w:val="0090045B"/>
    <w:rsid w:val="009305E7"/>
    <w:rsid w:val="00950EEE"/>
    <w:rsid w:val="0095459E"/>
    <w:rsid w:val="00963131"/>
    <w:rsid w:val="00975919"/>
    <w:rsid w:val="00993143"/>
    <w:rsid w:val="009A7D53"/>
    <w:rsid w:val="009B66BB"/>
    <w:rsid w:val="009C3063"/>
    <w:rsid w:val="009D0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BF7018"/>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81501"/>
    <w:rsid w:val="00EB564F"/>
    <w:rsid w:val="00EE12F8"/>
    <w:rsid w:val="00EE61BA"/>
    <w:rsid w:val="00F02533"/>
    <w:rsid w:val="00F37CBA"/>
    <w:rsid w:val="00F904B6"/>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18FC"/>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5128</Words>
  <Characters>29231</Characters>
  <Application>Microsoft Office Word</Application>
  <DocSecurity>0</DocSecurity>
  <Lines>243</Lines>
  <Paragraphs>68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Teacher Guide - Modular OPT A</dc:title>
  <dc:subject>OPT A: Training a Simple Model</dc:subject>
  <dc:creator>GenSTEAMers</dc:creator>
  <cp:keywords>GenSTEAMers, Chatting with AI, OPT A, Teacher Guide</cp:keywords>
  <dc:description/>
  <cp:lastModifiedBy>GenSTEAMers</cp:lastModifiedBy>
  <cp:revision>80</cp:revision>
  <dcterms:created xsi:type="dcterms:W3CDTF">2026-06-13T12:51:00Z</dcterms:created>
  <dcterms:modified xsi:type="dcterms:W3CDTF">2026-06-28T11:53:00Z</dcterms:modified>
</cp:coreProperties>
</file>